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35" w:rsidRDefault="00853F35" w:rsidP="00853F35">
      <w:pPr>
        <w:pStyle w:val="NormaleWeb"/>
        <w:spacing w:before="0" w:beforeAutospacing="0" w:after="0" w:afterAutospacing="0"/>
        <w:jc w:val="center"/>
        <w:rPr>
          <w:rFonts w:ascii="Arial" w:hAnsi="Arial" w:cs="Arial"/>
          <w:b/>
          <w:sz w:val="22"/>
          <w:szCs w:val="22"/>
        </w:rPr>
      </w:pPr>
      <w:r w:rsidRPr="00853F35">
        <w:rPr>
          <w:rFonts w:ascii="Arial" w:hAnsi="Arial" w:cs="Arial"/>
          <w:b/>
          <w:sz w:val="22"/>
          <w:szCs w:val="22"/>
        </w:rPr>
        <w:t>Nota informativa</w:t>
      </w:r>
    </w:p>
    <w:p w:rsidR="00853F35" w:rsidRPr="00853F35" w:rsidRDefault="00853F35" w:rsidP="00853F35">
      <w:pPr>
        <w:pStyle w:val="NormaleWeb"/>
        <w:spacing w:before="0" w:beforeAutospacing="0" w:after="0" w:afterAutospacing="0"/>
        <w:jc w:val="center"/>
        <w:rPr>
          <w:rFonts w:ascii="Arial" w:hAnsi="Arial" w:cs="Arial"/>
          <w:b/>
          <w:sz w:val="22"/>
          <w:szCs w:val="22"/>
        </w:rPr>
      </w:pPr>
    </w:p>
    <w:p w:rsidR="00853F35" w:rsidRDefault="00853F35" w:rsidP="00853F35">
      <w:pPr>
        <w:pStyle w:val="NormaleWeb"/>
        <w:spacing w:before="0" w:beforeAutospacing="0" w:after="0" w:afterAutospacing="0"/>
        <w:jc w:val="center"/>
        <w:rPr>
          <w:rFonts w:ascii="Arial" w:hAnsi="Arial" w:cs="Arial"/>
          <w:b/>
          <w:sz w:val="28"/>
          <w:szCs w:val="28"/>
        </w:rPr>
      </w:pPr>
      <w:r w:rsidRPr="00853F35">
        <w:rPr>
          <w:rFonts w:ascii="Arial" w:hAnsi="Arial" w:cs="Arial"/>
          <w:b/>
          <w:sz w:val="28"/>
          <w:szCs w:val="28"/>
        </w:rPr>
        <w:t xml:space="preserve">Ruolo di UNIRIGOM nell’attività di </w:t>
      </w:r>
      <w:proofErr w:type="spellStart"/>
      <w:r w:rsidRPr="00853F35">
        <w:rPr>
          <w:rFonts w:ascii="Arial" w:hAnsi="Arial" w:cs="Arial"/>
          <w:b/>
          <w:sz w:val="28"/>
          <w:szCs w:val="28"/>
        </w:rPr>
        <w:t>normazione</w:t>
      </w:r>
      <w:proofErr w:type="spellEnd"/>
      <w:r w:rsidRPr="00853F35">
        <w:rPr>
          <w:rFonts w:ascii="Arial" w:hAnsi="Arial" w:cs="Arial"/>
          <w:b/>
          <w:sz w:val="28"/>
          <w:szCs w:val="28"/>
        </w:rPr>
        <w:t xml:space="preserve"> italiana ed europea</w:t>
      </w:r>
    </w:p>
    <w:p w:rsidR="0015728B" w:rsidRPr="00853F35" w:rsidRDefault="00853F35" w:rsidP="00853F35">
      <w:pPr>
        <w:pStyle w:val="NormaleWeb"/>
        <w:spacing w:before="0" w:beforeAutospacing="0" w:after="0" w:afterAutospacing="0"/>
        <w:jc w:val="center"/>
        <w:rPr>
          <w:rFonts w:ascii="Arial" w:hAnsi="Arial" w:cs="Arial"/>
          <w:b/>
          <w:sz w:val="28"/>
          <w:szCs w:val="28"/>
        </w:rPr>
      </w:pPr>
      <w:r w:rsidRPr="00853F35">
        <w:rPr>
          <w:rFonts w:ascii="Arial" w:hAnsi="Arial" w:cs="Arial"/>
          <w:b/>
          <w:sz w:val="28"/>
          <w:szCs w:val="28"/>
        </w:rPr>
        <w:t>sul recupero dei PFU</w:t>
      </w:r>
    </w:p>
    <w:p w:rsidR="00853F35" w:rsidRPr="00853F35" w:rsidRDefault="00853F35" w:rsidP="00853F35">
      <w:pPr>
        <w:pStyle w:val="NormaleWeb"/>
        <w:spacing w:before="0" w:beforeAutospacing="0" w:after="0" w:afterAutospacing="0"/>
        <w:jc w:val="center"/>
        <w:rPr>
          <w:rFonts w:ascii="Arial" w:hAnsi="Arial" w:cs="Arial"/>
          <w:b/>
          <w:sz w:val="22"/>
          <w:szCs w:val="22"/>
        </w:rPr>
      </w:pPr>
    </w:p>
    <w:p w:rsidR="00853F35" w:rsidRDefault="00853F35" w:rsidP="00853F35">
      <w:pPr>
        <w:pStyle w:val="NormaleWeb"/>
        <w:spacing w:before="0" w:beforeAutospacing="0" w:after="0" w:afterAutospacing="0"/>
        <w:jc w:val="both"/>
        <w:rPr>
          <w:rFonts w:ascii="Arial" w:hAnsi="Arial" w:cs="Arial"/>
          <w:sz w:val="22"/>
          <w:szCs w:val="22"/>
        </w:rPr>
      </w:pPr>
    </w:p>
    <w:p w:rsidR="0015728B" w:rsidRPr="0015728B" w:rsidRDefault="0015728B" w:rsidP="00BC0112">
      <w:pPr>
        <w:pStyle w:val="NormaleWeb"/>
        <w:spacing w:before="0" w:beforeAutospacing="0" w:after="0" w:afterAutospacing="0"/>
        <w:jc w:val="both"/>
        <w:rPr>
          <w:rFonts w:ascii="Arial" w:hAnsi="Arial" w:cs="Arial"/>
          <w:sz w:val="22"/>
          <w:szCs w:val="22"/>
        </w:rPr>
      </w:pPr>
      <w:r w:rsidRPr="0015728B">
        <w:rPr>
          <w:rFonts w:ascii="Arial" w:hAnsi="Arial" w:cs="Arial"/>
          <w:sz w:val="22"/>
          <w:szCs w:val="22"/>
        </w:rPr>
        <w:t xml:space="preserve">UNIRIGOM è presente attivamente nel </w:t>
      </w:r>
      <w:r w:rsidR="00742A4C" w:rsidRPr="0015728B">
        <w:rPr>
          <w:rFonts w:ascii="Arial" w:hAnsi="Arial" w:cs="Arial"/>
          <w:sz w:val="22"/>
          <w:szCs w:val="22"/>
        </w:rPr>
        <w:t xml:space="preserve">Gruppo di Lavoro </w:t>
      </w:r>
      <w:r w:rsidRPr="0015728B">
        <w:rPr>
          <w:rFonts w:ascii="Arial" w:hAnsi="Arial" w:cs="Arial"/>
          <w:sz w:val="22"/>
          <w:szCs w:val="22"/>
        </w:rPr>
        <w:t xml:space="preserve">(GL 14) della Commissione Ambiente, </w:t>
      </w:r>
      <w:r w:rsidR="00742A4C" w:rsidRPr="0015728B">
        <w:rPr>
          <w:rFonts w:ascii="Arial" w:hAnsi="Arial" w:cs="Arial"/>
          <w:sz w:val="22"/>
          <w:szCs w:val="22"/>
        </w:rPr>
        <w:t xml:space="preserve">che si occupa dei materiali da recupero di </w:t>
      </w:r>
      <w:r w:rsidRPr="0015728B">
        <w:rPr>
          <w:rFonts w:ascii="Arial" w:hAnsi="Arial" w:cs="Arial"/>
          <w:sz w:val="22"/>
          <w:szCs w:val="22"/>
        </w:rPr>
        <w:t xml:space="preserve">PFU, presso l’UNI (Ente di Normazione Italiano). Il lavoro viene svolto </w:t>
      </w:r>
      <w:r w:rsidR="00742A4C" w:rsidRPr="0015728B">
        <w:rPr>
          <w:rFonts w:ascii="Arial" w:hAnsi="Arial" w:cs="Arial"/>
          <w:sz w:val="22"/>
          <w:szCs w:val="22"/>
        </w:rPr>
        <w:t xml:space="preserve"> </w:t>
      </w:r>
      <w:r w:rsidRPr="0015728B">
        <w:rPr>
          <w:rFonts w:ascii="Arial" w:hAnsi="Arial" w:cs="Arial"/>
          <w:sz w:val="22"/>
          <w:szCs w:val="22"/>
        </w:rPr>
        <w:t xml:space="preserve">sia in ambito italiano che europeo </w:t>
      </w:r>
      <w:r w:rsidR="00C62350" w:rsidRPr="0015728B">
        <w:rPr>
          <w:rFonts w:ascii="Arial" w:hAnsi="Arial" w:cs="Arial"/>
          <w:sz w:val="22"/>
          <w:szCs w:val="22"/>
        </w:rPr>
        <w:t xml:space="preserve">nel </w:t>
      </w:r>
      <w:r w:rsidRPr="0015728B">
        <w:rPr>
          <w:rFonts w:ascii="Arial" w:hAnsi="Arial" w:cs="Arial"/>
          <w:sz w:val="22"/>
          <w:szCs w:val="22"/>
        </w:rPr>
        <w:t xml:space="preserve">Comitato Tecnico che si occupa di PFU, </w:t>
      </w:r>
      <w:r w:rsidR="00C62350" w:rsidRPr="0015728B">
        <w:rPr>
          <w:rFonts w:ascii="Arial" w:hAnsi="Arial" w:cs="Arial"/>
          <w:sz w:val="22"/>
          <w:szCs w:val="22"/>
        </w:rPr>
        <w:t xml:space="preserve">CEN/TC 366 </w:t>
      </w:r>
      <w:r w:rsidRPr="0015728B">
        <w:rPr>
          <w:rFonts w:ascii="Arial" w:hAnsi="Arial" w:cs="Arial"/>
          <w:sz w:val="22"/>
          <w:szCs w:val="22"/>
        </w:rPr>
        <w:t>(Organo di Normazione Europea) di cui l’Italia detiene la segreteria europea e la gestione di 2 Gruppi di Lavoro.</w:t>
      </w:r>
    </w:p>
    <w:p w:rsidR="0015728B" w:rsidRPr="0015728B" w:rsidRDefault="0015728B" w:rsidP="00BC0112">
      <w:pPr>
        <w:pStyle w:val="NormaleWeb"/>
        <w:spacing w:before="0" w:beforeAutospacing="0" w:after="0" w:afterAutospacing="0"/>
        <w:jc w:val="both"/>
        <w:rPr>
          <w:rFonts w:ascii="Arial" w:hAnsi="Arial" w:cs="Arial"/>
          <w:sz w:val="22"/>
          <w:szCs w:val="22"/>
        </w:rPr>
      </w:pPr>
    </w:p>
    <w:p w:rsidR="0015728B" w:rsidRPr="0015728B" w:rsidRDefault="0015728B" w:rsidP="00BC0112">
      <w:pPr>
        <w:pStyle w:val="NormaleWeb"/>
        <w:spacing w:before="0" w:beforeAutospacing="0" w:after="0" w:afterAutospacing="0"/>
        <w:jc w:val="both"/>
        <w:rPr>
          <w:rFonts w:ascii="Arial" w:hAnsi="Arial" w:cs="Arial"/>
          <w:sz w:val="22"/>
          <w:szCs w:val="22"/>
        </w:rPr>
      </w:pPr>
      <w:r w:rsidRPr="0015728B">
        <w:rPr>
          <w:rFonts w:ascii="Arial" w:hAnsi="Arial" w:cs="Arial"/>
          <w:sz w:val="22"/>
          <w:szCs w:val="22"/>
        </w:rPr>
        <w:t xml:space="preserve">In ambito europeo, dopo l’uscita della Specifica Tecnica CEN/TS 14243 </w:t>
      </w:r>
      <w:r w:rsidR="004C7611">
        <w:rPr>
          <w:rFonts w:ascii="Arial" w:hAnsi="Arial" w:cs="Arial"/>
          <w:sz w:val="22"/>
          <w:szCs w:val="22"/>
        </w:rPr>
        <w:t>n</w:t>
      </w:r>
      <w:r w:rsidRPr="0015728B">
        <w:rPr>
          <w:rFonts w:ascii="Arial" w:hAnsi="Arial" w:cs="Arial"/>
          <w:sz w:val="22"/>
          <w:szCs w:val="22"/>
        </w:rPr>
        <w:t>el 2010, si è deciso di proseguire con i lavori, che vedono impegnati anche gli operatori di altri Paesi, costituendo 4 gruppi di lavoro:</w:t>
      </w:r>
    </w:p>
    <w:p w:rsidR="0015728B" w:rsidRPr="0015728B" w:rsidRDefault="0015728B" w:rsidP="00BC0112">
      <w:pPr>
        <w:pStyle w:val="NormaleWeb"/>
        <w:spacing w:before="0" w:beforeAutospacing="0" w:after="0" w:afterAutospacing="0"/>
        <w:jc w:val="both"/>
        <w:rPr>
          <w:rFonts w:ascii="Arial" w:hAnsi="Arial" w:cs="Arial"/>
          <w:sz w:val="22"/>
          <w:szCs w:val="22"/>
        </w:rPr>
      </w:pPr>
    </w:p>
    <w:p w:rsidR="0015728B" w:rsidRPr="0015728B" w:rsidRDefault="0015728B" w:rsidP="0015728B">
      <w:pPr>
        <w:pStyle w:val="Paragrafoelenco"/>
        <w:numPr>
          <w:ilvl w:val="0"/>
          <w:numId w:val="7"/>
        </w:numPr>
        <w:autoSpaceDE w:val="0"/>
        <w:autoSpaceDN w:val="0"/>
        <w:adjustRightInd w:val="0"/>
        <w:spacing w:after="0"/>
        <w:jc w:val="both"/>
        <w:rPr>
          <w:rFonts w:ascii="Arial" w:eastAsia="Calibri" w:hAnsi="Arial" w:cs="Arial"/>
          <w:lang w:val="en-US"/>
        </w:rPr>
      </w:pPr>
      <w:r w:rsidRPr="0015728B">
        <w:rPr>
          <w:rFonts w:ascii="Arial" w:eastAsia="Calibri" w:hAnsi="Arial" w:cs="Arial"/>
          <w:lang w:val="en-US"/>
        </w:rPr>
        <w:t>Working Group 1 titled "Validation of CEN/TS 14243".</w:t>
      </w:r>
    </w:p>
    <w:p w:rsidR="0015728B" w:rsidRDefault="0015728B" w:rsidP="0015728B">
      <w:pPr>
        <w:autoSpaceDE w:val="0"/>
        <w:autoSpaceDN w:val="0"/>
        <w:adjustRightInd w:val="0"/>
        <w:spacing w:after="0"/>
        <w:ind w:firstLine="1"/>
        <w:jc w:val="both"/>
        <w:rPr>
          <w:rFonts w:ascii="Arial" w:hAnsi="Arial" w:cs="Arial"/>
          <w:lang w:val="en-US"/>
        </w:rPr>
      </w:pPr>
      <w:r>
        <w:rPr>
          <w:rFonts w:ascii="Arial" w:hAnsi="Arial" w:cs="Arial"/>
          <w:lang w:val="en-US"/>
        </w:rPr>
        <w:tab/>
      </w:r>
      <w:r w:rsidRPr="0015728B">
        <w:rPr>
          <w:rFonts w:ascii="Arial" w:eastAsia="Calibri" w:hAnsi="Arial" w:cs="Arial"/>
          <w:lang w:val="en-US"/>
        </w:rPr>
        <w:t>Scope: Validation of the existing TS 14243 in order to replace it with an EN "</w:t>
      </w:r>
    </w:p>
    <w:p w:rsidR="0015728B" w:rsidRPr="0015728B" w:rsidRDefault="0015728B" w:rsidP="0015728B">
      <w:pPr>
        <w:autoSpaceDE w:val="0"/>
        <w:autoSpaceDN w:val="0"/>
        <w:adjustRightInd w:val="0"/>
        <w:spacing w:after="0"/>
        <w:ind w:firstLine="1"/>
        <w:jc w:val="both"/>
        <w:rPr>
          <w:rFonts w:ascii="Arial" w:eastAsia="Calibri" w:hAnsi="Arial" w:cs="Arial"/>
          <w:lang w:val="en-US"/>
        </w:rPr>
      </w:pPr>
    </w:p>
    <w:p w:rsidR="0015728B" w:rsidRPr="0015728B" w:rsidRDefault="0015728B" w:rsidP="0015728B">
      <w:pPr>
        <w:pStyle w:val="Paragrafoelenco"/>
        <w:numPr>
          <w:ilvl w:val="0"/>
          <w:numId w:val="7"/>
        </w:numPr>
        <w:autoSpaceDE w:val="0"/>
        <w:autoSpaceDN w:val="0"/>
        <w:adjustRightInd w:val="0"/>
        <w:spacing w:after="0"/>
        <w:jc w:val="both"/>
        <w:rPr>
          <w:rFonts w:ascii="Arial" w:eastAsia="Calibri" w:hAnsi="Arial" w:cs="Arial"/>
          <w:lang w:val="en-US"/>
        </w:rPr>
      </w:pPr>
      <w:r w:rsidRPr="0015728B">
        <w:rPr>
          <w:rFonts w:ascii="Arial" w:eastAsia="Calibri" w:hAnsi="Arial" w:cs="Arial"/>
          <w:lang w:val="en-US"/>
        </w:rPr>
        <w:t>Working Group 2 titled "Physical characteristics".</w:t>
      </w:r>
    </w:p>
    <w:p w:rsidR="0015728B" w:rsidRDefault="0015728B" w:rsidP="0015728B">
      <w:pPr>
        <w:autoSpaceDE w:val="0"/>
        <w:autoSpaceDN w:val="0"/>
        <w:adjustRightInd w:val="0"/>
        <w:spacing w:after="0"/>
        <w:ind w:firstLine="1"/>
        <w:jc w:val="both"/>
        <w:rPr>
          <w:rFonts w:ascii="Arial" w:hAnsi="Arial" w:cs="Arial"/>
          <w:lang w:val="en-US"/>
        </w:rPr>
      </w:pPr>
      <w:r>
        <w:rPr>
          <w:rFonts w:ascii="Arial" w:hAnsi="Arial" w:cs="Arial"/>
          <w:lang w:val="en-US"/>
        </w:rPr>
        <w:tab/>
      </w:r>
      <w:r w:rsidRPr="0015728B">
        <w:rPr>
          <w:rFonts w:ascii="Arial" w:eastAsia="Calibri" w:hAnsi="Arial" w:cs="Arial"/>
          <w:lang w:val="en-US"/>
        </w:rPr>
        <w:t xml:space="preserve">Scope: Developing standards (including samplings) for certain physical characteristics of </w:t>
      </w:r>
      <w:r>
        <w:rPr>
          <w:rFonts w:ascii="Arial" w:hAnsi="Arial" w:cs="Arial"/>
          <w:lang w:val="en-US"/>
        </w:rPr>
        <w:tab/>
      </w:r>
      <w:r w:rsidRPr="0015728B">
        <w:rPr>
          <w:rFonts w:ascii="Arial" w:eastAsia="Calibri" w:hAnsi="Arial" w:cs="Arial"/>
          <w:lang w:val="en-US"/>
        </w:rPr>
        <w:t>the materials produced from ELTs.</w:t>
      </w:r>
    </w:p>
    <w:p w:rsidR="0015728B" w:rsidRPr="0015728B" w:rsidRDefault="0015728B" w:rsidP="0015728B">
      <w:pPr>
        <w:autoSpaceDE w:val="0"/>
        <w:autoSpaceDN w:val="0"/>
        <w:adjustRightInd w:val="0"/>
        <w:spacing w:after="0"/>
        <w:ind w:firstLine="1"/>
        <w:jc w:val="both"/>
        <w:rPr>
          <w:rFonts w:ascii="Arial" w:eastAsia="Calibri" w:hAnsi="Arial" w:cs="Arial"/>
          <w:lang w:val="en-US"/>
        </w:rPr>
      </w:pPr>
    </w:p>
    <w:p w:rsidR="0015728B" w:rsidRPr="0015728B" w:rsidRDefault="0015728B" w:rsidP="0015728B">
      <w:pPr>
        <w:pStyle w:val="Paragrafoelenco"/>
        <w:numPr>
          <w:ilvl w:val="0"/>
          <w:numId w:val="7"/>
        </w:numPr>
        <w:autoSpaceDE w:val="0"/>
        <w:autoSpaceDN w:val="0"/>
        <w:adjustRightInd w:val="0"/>
        <w:spacing w:after="0"/>
        <w:jc w:val="both"/>
        <w:rPr>
          <w:rFonts w:ascii="Arial" w:eastAsia="Calibri" w:hAnsi="Arial" w:cs="Arial"/>
          <w:lang w:val="en-US"/>
        </w:rPr>
      </w:pPr>
      <w:r w:rsidRPr="0015728B">
        <w:rPr>
          <w:rFonts w:ascii="Arial" w:eastAsia="Calibri" w:hAnsi="Arial" w:cs="Arial"/>
          <w:lang w:val="en-US"/>
        </w:rPr>
        <w:t>Working Group 3 titled "Composition characteristics"</w:t>
      </w:r>
    </w:p>
    <w:p w:rsidR="0015728B" w:rsidRDefault="0015728B" w:rsidP="0015728B">
      <w:pPr>
        <w:autoSpaceDE w:val="0"/>
        <w:autoSpaceDN w:val="0"/>
        <w:adjustRightInd w:val="0"/>
        <w:spacing w:after="0"/>
        <w:ind w:firstLine="1"/>
        <w:jc w:val="both"/>
        <w:rPr>
          <w:rFonts w:ascii="Arial" w:hAnsi="Arial" w:cs="Arial"/>
          <w:lang w:val="en-US"/>
        </w:rPr>
      </w:pPr>
      <w:r>
        <w:rPr>
          <w:rFonts w:ascii="Arial" w:hAnsi="Arial" w:cs="Arial"/>
          <w:lang w:val="en-US"/>
        </w:rPr>
        <w:tab/>
      </w:r>
      <w:r w:rsidRPr="0015728B">
        <w:rPr>
          <w:rFonts w:ascii="Arial" w:eastAsia="Calibri" w:hAnsi="Arial" w:cs="Arial"/>
          <w:lang w:val="en-US"/>
        </w:rPr>
        <w:t xml:space="preserve">Scope: Developing standards (including samplings) for certain composition characteristics </w:t>
      </w:r>
      <w:r>
        <w:rPr>
          <w:rFonts w:ascii="Arial" w:hAnsi="Arial" w:cs="Arial"/>
          <w:lang w:val="en-US"/>
        </w:rPr>
        <w:tab/>
      </w:r>
      <w:r w:rsidRPr="0015728B">
        <w:rPr>
          <w:rFonts w:ascii="Arial" w:eastAsia="Calibri" w:hAnsi="Arial" w:cs="Arial"/>
          <w:lang w:val="en-US"/>
        </w:rPr>
        <w:t>of the materials produced from ELTs.</w:t>
      </w:r>
    </w:p>
    <w:p w:rsidR="0015728B" w:rsidRPr="0015728B" w:rsidRDefault="0015728B" w:rsidP="0015728B">
      <w:pPr>
        <w:autoSpaceDE w:val="0"/>
        <w:autoSpaceDN w:val="0"/>
        <w:adjustRightInd w:val="0"/>
        <w:spacing w:after="0"/>
        <w:ind w:firstLine="1"/>
        <w:jc w:val="both"/>
        <w:rPr>
          <w:rFonts w:ascii="Arial" w:eastAsia="Calibri" w:hAnsi="Arial" w:cs="Arial"/>
          <w:lang w:val="en-US"/>
        </w:rPr>
      </w:pPr>
    </w:p>
    <w:p w:rsidR="0015728B" w:rsidRPr="0015728B" w:rsidRDefault="0015728B" w:rsidP="0015728B">
      <w:pPr>
        <w:pStyle w:val="Paragrafoelenco"/>
        <w:numPr>
          <w:ilvl w:val="0"/>
          <w:numId w:val="7"/>
        </w:numPr>
        <w:autoSpaceDE w:val="0"/>
        <w:autoSpaceDN w:val="0"/>
        <w:adjustRightInd w:val="0"/>
        <w:spacing w:after="0"/>
        <w:jc w:val="both"/>
        <w:rPr>
          <w:rFonts w:ascii="Arial" w:eastAsia="Calibri" w:hAnsi="Arial" w:cs="Arial"/>
          <w:lang w:val="en-US"/>
        </w:rPr>
      </w:pPr>
      <w:r w:rsidRPr="0015728B">
        <w:rPr>
          <w:rFonts w:ascii="Arial" w:eastAsia="Calibri" w:hAnsi="Arial" w:cs="Arial"/>
          <w:lang w:val="en-US"/>
        </w:rPr>
        <w:t>Working Group 4 titled "General properties of whole ELTs".</w:t>
      </w:r>
    </w:p>
    <w:p w:rsidR="0015728B" w:rsidRDefault="0015728B" w:rsidP="0015728B">
      <w:pPr>
        <w:autoSpaceDE w:val="0"/>
        <w:autoSpaceDN w:val="0"/>
        <w:adjustRightInd w:val="0"/>
        <w:spacing w:after="0"/>
        <w:ind w:firstLine="1"/>
        <w:jc w:val="both"/>
        <w:rPr>
          <w:rFonts w:ascii="Arial" w:hAnsi="Arial" w:cs="Arial"/>
          <w:lang w:val="en-US"/>
        </w:rPr>
      </w:pPr>
      <w:r>
        <w:rPr>
          <w:rFonts w:ascii="Arial" w:hAnsi="Arial" w:cs="Arial"/>
          <w:lang w:val="en-US"/>
        </w:rPr>
        <w:tab/>
      </w:r>
      <w:r w:rsidRPr="0015728B">
        <w:rPr>
          <w:rFonts w:ascii="Arial" w:eastAsia="Calibri" w:hAnsi="Arial" w:cs="Arial"/>
          <w:lang w:val="en-US"/>
        </w:rPr>
        <w:t xml:space="preserve">Scope: General properties of whole ELTs as required for subsequent ELTs processing, in </w:t>
      </w:r>
      <w:r>
        <w:rPr>
          <w:rFonts w:ascii="Arial" w:hAnsi="Arial" w:cs="Arial"/>
          <w:lang w:val="en-US"/>
        </w:rPr>
        <w:tab/>
      </w:r>
      <w:r w:rsidRPr="0015728B">
        <w:rPr>
          <w:rFonts w:ascii="Arial" w:eastAsia="Calibri" w:hAnsi="Arial" w:cs="Arial"/>
          <w:lang w:val="en-US"/>
        </w:rPr>
        <w:t>line with the approved Business Plan.</w:t>
      </w:r>
    </w:p>
    <w:p w:rsidR="004C7611" w:rsidRDefault="004C7611" w:rsidP="0015728B">
      <w:pPr>
        <w:autoSpaceDE w:val="0"/>
        <w:autoSpaceDN w:val="0"/>
        <w:adjustRightInd w:val="0"/>
        <w:spacing w:after="0"/>
        <w:ind w:firstLine="1"/>
        <w:jc w:val="both"/>
        <w:rPr>
          <w:rFonts w:ascii="Arial" w:hAnsi="Arial" w:cs="Arial"/>
          <w:lang w:val="en-US"/>
        </w:rPr>
      </w:pPr>
    </w:p>
    <w:p w:rsidR="004C7611" w:rsidRDefault="004C7611" w:rsidP="004C7611">
      <w:pPr>
        <w:autoSpaceDE w:val="0"/>
        <w:autoSpaceDN w:val="0"/>
        <w:adjustRightInd w:val="0"/>
        <w:spacing w:after="0"/>
        <w:ind w:firstLine="1"/>
        <w:jc w:val="both"/>
        <w:rPr>
          <w:rFonts w:ascii="Arial" w:hAnsi="Arial" w:cs="Arial"/>
        </w:rPr>
      </w:pPr>
      <w:r>
        <w:rPr>
          <w:rFonts w:ascii="Arial" w:hAnsi="Arial" w:cs="Arial"/>
        </w:rPr>
        <w:t>L</w:t>
      </w:r>
      <w:r w:rsidRPr="004C7611">
        <w:rPr>
          <w:rFonts w:ascii="Arial" w:hAnsi="Arial" w:cs="Arial"/>
        </w:rPr>
        <w:t xml:space="preserve">’Ing. </w:t>
      </w:r>
      <w:r>
        <w:rPr>
          <w:rFonts w:ascii="Arial" w:hAnsi="Arial" w:cs="Arial"/>
        </w:rPr>
        <w:t>Rimondi</w:t>
      </w:r>
      <w:r w:rsidRPr="004C7611">
        <w:rPr>
          <w:rFonts w:ascii="Arial" w:hAnsi="Arial" w:cs="Arial"/>
        </w:rPr>
        <w:t xml:space="preserve"> </w:t>
      </w:r>
      <w:r>
        <w:rPr>
          <w:rFonts w:ascii="Arial" w:hAnsi="Arial" w:cs="Arial"/>
        </w:rPr>
        <w:t xml:space="preserve">è il Convenor dei primi due gruppi che vedono la partecipazione, tra gli esperti, anche dei nostri Soci (Maggiolo, Siragna e Pallaro). Gli altri due gruppi sono coordinati da </w:t>
      </w:r>
      <w:r w:rsidRPr="0015728B">
        <w:rPr>
          <w:rFonts w:ascii="Arial" w:eastAsia="Calibri" w:hAnsi="Arial" w:cs="Arial"/>
        </w:rPr>
        <w:t xml:space="preserve">Mr. Bermejo, un rappresentante di AENOR, Ente normatore spagnolo. </w:t>
      </w:r>
    </w:p>
    <w:p w:rsidR="00FA3ACC" w:rsidRPr="0015728B" w:rsidRDefault="00FA3ACC" w:rsidP="004C7611">
      <w:pPr>
        <w:autoSpaceDE w:val="0"/>
        <w:autoSpaceDN w:val="0"/>
        <w:adjustRightInd w:val="0"/>
        <w:spacing w:after="0"/>
        <w:ind w:firstLine="1"/>
        <w:jc w:val="both"/>
        <w:rPr>
          <w:rFonts w:ascii="Arial" w:eastAsia="Calibri" w:hAnsi="Arial" w:cs="Arial"/>
        </w:rPr>
      </w:pPr>
    </w:p>
    <w:p w:rsidR="004C7611" w:rsidRDefault="004C7611" w:rsidP="004C7611">
      <w:pPr>
        <w:autoSpaceDE w:val="0"/>
        <w:autoSpaceDN w:val="0"/>
        <w:adjustRightInd w:val="0"/>
        <w:spacing w:after="0"/>
        <w:ind w:firstLine="1"/>
        <w:jc w:val="both"/>
        <w:rPr>
          <w:rFonts w:ascii="Arial" w:hAnsi="Arial" w:cs="Arial"/>
        </w:rPr>
      </w:pPr>
      <w:r>
        <w:rPr>
          <w:rFonts w:ascii="Arial" w:hAnsi="Arial" w:cs="Arial"/>
        </w:rPr>
        <w:t>A livello nazionale, il Grup</w:t>
      </w:r>
      <w:r w:rsidR="00DF2098">
        <w:rPr>
          <w:rFonts w:ascii="Arial" w:hAnsi="Arial" w:cs="Arial"/>
        </w:rPr>
        <w:t xml:space="preserve">po di Lavoro UNI coordinato da </w:t>
      </w:r>
      <w:r>
        <w:rPr>
          <w:rFonts w:ascii="Arial" w:hAnsi="Arial" w:cs="Arial"/>
        </w:rPr>
        <w:t xml:space="preserve">Luca </w:t>
      </w:r>
      <w:proofErr w:type="spellStart"/>
      <w:r>
        <w:rPr>
          <w:rFonts w:ascii="Arial" w:hAnsi="Arial" w:cs="Arial"/>
        </w:rPr>
        <w:t>Soranzio</w:t>
      </w:r>
      <w:proofErr w:type="spellEnd"/>
      <w:r w:rsidR="00C62350" w:rsidRPr="0015728B">
        <w:rPr>
          <w:rFonts w:ascii="Arial" w:hAnsi="Arial" w:cs="Arial"/>
        </w:rPr>
        <w:t xml:space="preserve"> </w:t>
      </w:r>
      <w:r w:rsidR="00DF2098">
        <w:rPr>
          <w:rFonts w:ascii="Arial" w:hAnsi="Arial" w:cs="Arial"/>
        </w:rPr>
        <w:t xml:space="preserve">(Consigliere UNIRIGOM) </w:t>
      </w:r>
      <w:r w:rsidR="00742A4C" w:rsidRPr="0015728B">
        <w:rPr>
          <w:rFonts w:ascii="Arial" w:hAnsi="Arial" w:cs="Arial"/>
        </w:rPr>
        <w:t xml:space="preserve">ha in programma </w:t>
      </w:r>
      <w:r w:rsidR="00BC0112" w:rsidRPr="0015728B">
        <w:rPr>
          <w:rFonts w:ascii="Arial" w:hAnsi="Arial" w:cs="Arial"/>
        </w:rPr>
        <w:t>la stesura di una serie di Norme Nazionali che, dopo l’uscita a livello europeo della Specifica Tecnica</w:t>
      </w:r>
      <w:r>
        <w:rPr>
          <w:rFonts w:ascii="Arial" w:hAnsi="Arial" w:cs="Arial"/>
        </w:rPr>
        <w:t xml:space="preserve"> </w:t>
      </w:r>
      <w:r w:rsidRPr="0015728B">
        <w:rPr>
          <w:rFonts w:ascii="Arial" w:hAnsi="Arial" w:cs="Arial"/>
        </w:rPr>
        <w:t>CEN/TS 14243</w:t>
      </w:r>
      <w:r w:rsidR="00BC0112" w:rsidRPr="0015728B">
        <w:rPr>
          <w:rFonts w:ascii="Arial" w:hAnsi="Arial" w:cs="Arial"/>
        </w:rPr>
        <w:t>, possano migliorare e qualificare ulteriormente il comparto produttivo, ponendo le basi di riferimen</w:t>
      </w:r>
      <w:r>
        <w:rPr>
          <w:rFonts w:ascii="Arial" w:hAnsi="Arial" w:cs="Arial"/>
        </w:rPr>
        <w:t>to concrete per il Legislatore.</w:t>
      </w:r>
    </w:p>
    <w:p w:rsidR="004C7611" w:rsidRDefault="004C7611" w:rsidP="004C7611">
      <w:pPr>
        <w:autoSpaceDE w:val="0"/>
        <w:autoSpaceDN w:val="0"/>
        <w:adjustRightInd w:val="0"/>
        <w:spacing w:after="0"/>
        <w:ind w:firstLine="1"/>
        <w:jc w:val="both"/>
        <w:rPr>
          <w:rFonts w:ascii="Arial" w:hAnsi="Arial" w:cs="Arial"/>
        </w:rPr>
      </w:pPr>
      <w:r>
        <w:rPr>
          <w:rFonts w:ascii="Arial" w:hAnsi="Arial" w:cs="Arial"/>
        </w:rPr>
        <w:t>Nello specifico le norme in fase di studio sono:</w:t>
      </w:r>
    </w:p>
    <w:p w:rsidR="004C7611" w:rsidRDefault="004C7611" w:rsidP="004C7611">
      <w:pPr>
        <w:autoSpaceDE w:val="0"/>
        <w:autoSpaceDN w:val="0"/>
        <w:adjustRightInd w:val="0"/>
        <w:spacing w:after="0"/>
        <w:ind w:firstLine="1"/>
        <w:jc w:val="both"/>
        <w:rPr>
          <w:rFonts w:ascii="Arial" w:hAnsi="Arial" w:cs="Arial"/>
        </w:rPr>
      </w:pPr>
    </w:p>
    <w:tbl>
      <w:tblPr>
        <w:tblStyle w:val="Grigliatabella"/>
        <w:tblW w:w="0" w:type="auto"/>
        <w:tblLook w:val="04A0"/>
      </w:tblPr>
      <w:tblGrid>
        <w:gridCol w:w="1384"/>
        <w:gridCol w:w="8394"/>
      </w:tblGrid>
      <w:tr w:rsidR="004C7611" w:rsidRPr="0090694E" w:rsidTr="00E81677">
        <w:trPr>
          <w:trHeight w:val="383"/>
        </w:trPr>
        <w:tc>
          <w:tcPr>
            <w:tcW w:w="1384" w:type="dxa"/>
            <w:vAlign w:val="center"/>
          </w:tcPr>
          <w:p w:rsidR="004C7611" w:rsidRPr="0090694E" w:rsidRDefault="004C7611" w:rsidP="00E81677">
            <w:pPr>
              <w:rPr>
                <w:rFonts w:ascii="Arial" w:hAnsi="Arial" w:cs="Arial"/>
              </w:rPr>
            </w:pPr>
            <w:r w:rsidRPr="0090694E">
              <w:rPr>
                <w:rFonts w:ascii="Arial" w:hAnsi="Arial" w:cs="Arial"/>
              </w:rPr>
              <w:t>Gruppo</w:t>
            </w:r>
          </w:p>
        </w:tc>
        <w:tc>
          <w:tcPr>
            <w:tcW w:w="8394" w:type="dxa"/>
            <w:vAlign w:val="center"/>
          </w:tcPr>
          <w:p w:rsidR="004C7611" w:rsidRPr="0090694E" w:rsidRDefault="004C7611" w:rsidP="00E81677">
            <w:pPr>
              <w:rPr>
                <w:rFonts w:ascii="Arial" w:hAnsi="Arial" w:cs="Arial"/>
              </w:rPr>
            </w:pPr>
            <w:r>
              <w:rPr>
                <w:rFonts w:ascii="Arial" w:hAnsi="Arial" w:cs="Arial"/>
              </w:rPr>
              <w:t>Pneumatici Fuori Uso</w:t>
            </w:r>
          </w:p>
        </w:tc>
      </w:tr>
      <w:tr w:rsidR="004C7611" w:rsidRPr="0090694E" w:rsidTr="00E81677">
        <w:trPr>
          <w:trHeight w:val="383"/>
        </w:trPr>
        <w:tc>
          <w:tcPr>
            <w:tcW w:w="1384" w:type="dxa"/>
            <w:vAlign w:val="center"/>
          </w:tcPr>
          <w:p w:rsidR="004C7611" w:rsidRPr="0090694E" w:rsidRDefault="004C7611" w:rsidP="00E81677">
            <w:pPr>
              <w:rPr>
                <w:rFonts w:ascii="Arial" w:hAnsi="Arial" w:cs="Arial"/>
              </w:rPr>
            </w:pPr>
            <w:r>
              <w:rPr>
                <w:rFonts w:ascii="Arial" w:hAnsi="Arial" w:cs="Arial"/>
              </w:rPr>
              <w:t>Principale</w:t>
            </w:r>
          </w:p>
        </w:tc>
        <w:tc>
          <w:tcPr>
            <w:tcW w:w="8394" w:type="dxa"/>
            <w:vAlign w:val="center"/>
          </w:tcPr>
          <w:p w:rsidR="004C7611" w:rsidRPr="00E903C0" w:rsidRDefault="004C7611" w:rsidP="00E81677">
            <w:pPr>
              <w:rPr>
                <w:rFonts w:ascii="Arial" w:hAnsi="Arial" w:cs="Arial"/>
              </w:rPr>
            </w:pPr>
            <w:r w:rsidRPr="00E903C0">
              <w:rPr>
                <w:rFonts w:ascii="Arial" w:eastAsia="Calibri" w:hAnsi="Arial" w:cs="Arial"/>
              </w:rPr>
              <w:t>Materiali in gomma vulcanizzata ottenuti dal recupero di PFU</w:t>
            </w:r>
          </w:p>
        </w:tc>
      </w:tr>
      <w:tr w:rsidR="004C7611" w:rsidRPr="0090694E" w:rsidTr="00E81677">
        <w:trPr>
          <w:trHeight w:val="383"/>
        </w:trPr>
        <w:tc>
          <w:tcPr>
            <w:tcW w:w="1384" w:type="dxa"/>
            <w:vAlign w:val="center"/>
          </w:tcPr>
          <w:p w:rsidR="004C7611" w:rsidRDefault="004C7611" w:rsidP="00E81677">
            <w:pPr>
              <w:rPr>
                <w:rFonts w:ascii="Arial" w:hAnsi="Arial" w:cs="Arial"/>
              </w:rPr>
            </w:pPr>
            <w:r>
              <w:rPr>
                <w:rFonts w:ascii="Arial" w:hAnsi="Arial" w:cs="Arial"/>
              </w:rPr>
              <w:t>Sottotitolo</w:t>
            </w:r>
          </w:p>
        </w:tc>
        <w:tc>
          <w:tcPr>
            <w:tcW w:w="8394" w:type="dxa"/>
            <w:vAlign w:val="center"/>
          </w:tcPr>
          <w:p w:rsidR="004C7611" w:rsidRDefault="004C7611" w:rsidP="00E81677">
            <w:pPr>
              <w:rPr>
                <w:rFonts w:ascii="Arial" w:hAnsi="Arial" w:cs="Arial"/>
              </w:rPr>
            </w:pPr>
            <w:r>
              <w:rPr>
                <w:rFonts w:ascii="Arial" w:hAnsi="Arial" w:cs="Arial"/>
              </w:rPr>
              <w:t>Parte 1: Classificazione dei granulati</w:t>
            </w:r>
          </w:p>
        </w:tc>
      </w:tr>
      <w:tr w:rsidR="004C7611" w:rsidRPr="0090694E" w:rsidTr="00E81677">
        <w:trPr>
          <w:trHeight w:val="1429"/>
        </w:trPr>
        <w:tc>
          <w:tcPr>
            <w:tcW w:w="1384" w:type="dxa"/>
            <w:vAlign w:val="center"/>
          </w:tcPr>
          <w:p w:rsidR="004C7611" w:rsidRDefault="004C7611" w:rsidP="00E81677">
            <w:pPr>
              <w:rPr>
                <w:rFonts w:ascii="Arial" w:hAnsi="Arial" w:cs="Arial"/>
              </w:rPr>
            </w:pPr>
            <w:r>
              <w:rPr>
                <w:rFonts w:ascii="Arial" w:hAnsi="Arial" w:cs="Arial"/>
              </w:rPr>
              <w:t>Sommario</w:t>
            </w:r>
          </w:p>
        </w:tc>
        <w:tc>
          <w:tcPr>
            <w:tcW w:w="8394" w:type="dxa"/>
            <w:vAlign w:val="center"/>
          </w:tcPr>
          <w:p w:rsidR="004C7611" w:rsidRPr="00E903C0" w:rsidRDefault="004C7611" w:rsidP="00E81677">
            <w:pPr>
              <w:keepNext/>
              <w:suppressAutoHyphens/>
              <w:spacing w:line="230" w:lineRule="atLeast"/>
              <w:jc w:val="both"/>
              <w:rPr>
                <w:rFonts w:ascii="Arial" w:eastAsia="Calibri" w:hAnsi="Arial" w:cs="Arial"/>
              </w:rPr>
            </w:pPr>
            <w:r w:rsidRPr="00E903C0">
              <w:rPr>
                <w:rFonts w:ascii="Arial" w:eastAsia="Calibri" w:hAnsi="Arial" w:cs="Arial"/>
              </w:rPr>
              <w:t>La norma specifica i requisiti per la classificazione e specificazione dei granulati ottenuti dalle operazioni di recupero effettuate su pneumatici fuori uso, determinando una precisa classe per ogni tipo di materiale granulato che l’industria utilizza per la produzione di miscele di materiali e/o di manufatti, nelle forme usualmente commercializzate, o per altri fini.</w:t>
            </w:r>
          </w:p>
        </w:tc>
      </w:tr>
    </w:tbl>
    <w:p w:rsidR="004C7611" w:rsidRDefault="004C7611" w:rsidP="004C7611">
      <w:pPr>
        <w:rPr>
          <w:rFonts w:ascii="Arial" w:hAnsi="Arial" w:cs="Arial"/>
        </w:rPr>
      </w:pPr>
    </w:p>
    <w:p w:rsidR="004C7611" w:rsidRDefault="004C7611" w:rsidP="004C7611">
      <w:pPr>
        <w:rPr>
          <w:rFonts w:ascii="Arial" w:hAnsi="Arial" w:cs="Arial"/>
        </w:rPr>
      </w:pPr>
    </w:p>
    <w:p w:rsidR="004C7611" w:rsidRDefault="004C7611" w:rsidP="004C7611">
      <w:pPr>
        <w:rPr>
          <w:rFonts w:ascii="Arial" w:hAnsi="Arial" w:cs="Arial"/>
        </w:rPr>
      </w:pPr>
    </w:p>
    <w:tbl>
      <w:tblPr>
        <w:tblStyle w:val="Grigliatabella"/>
        <w:tblW w:w="0" w:type="auto"/>
        <w:tblLook w:val="04A0"/>
      </w:tblPr>
      <w:tblGrid>
        <w:gridCol w:w="1384"/>
        <w:gridCol w:w="8394"/>
      </w:tblGrid>
      <w:tr w:rsidR="004C7611" w:rsidRPr="0090694E" w:rsidTr="00E81677">
        <w:trPr>
          <w:trHeight w:val="383"/>
        </w:trPr>
        <w:tc>
          <w:tcPr>
            <w:tcW w:w="1384" w:type="dxa"/>
            <w:vAlign w:val="center"/>
          </w:tcPr>
          <w:p w:rsidR="004C7611" w:rsidRPr="0090694E" w:rsidRDefault="004C7611" w:rsidP="00E81677">
            <w:pPr>
              <w:rPr>
                <w:rFonts w:ascii="Arial" w:hAnsi="Arial" w:cs="Arial"/>
              </w:rPr>
            </w:pPr>
            <w:r w:rsidRPr="0090694E">
              <w:rPr>
                <w:rFonts w:ascii="Arial" w:hAnsi="Arial" w:cs="Arial"/>
              </w:rPr>
              <w:t>Gruppo</w:t>
            </w:r>
          </w:p>
        </w:tc>
        <w:tc>
          <w:tcPr>
            <w:tcW w:w="8394" w:type="dxa"/>
            <w:vAlign w:val="center"/>
          </w:tcPr>
          <w:p w:rsidR="004C7611" w:rsidRPr="0090694E" w:rsidRDefault="004C7611" w:rsidP="00E81677">
            <w:pPr>
              <w:rPr>
                <w:rFonts w:ascii="Arial" w:hAnsi="Arial" w:cs="Arial"/>
              </w:rPr>
            </w:pPr>
            <w:r>
              <w:rPr>
                <w:rFonts w:ascii="Arial" w:hAnsi="Arial" w:cs="Arial"/>
              </w:rPr>
              <w:t>Pneumatici Fuori Uso</w:t>
            </w:r>
          </w:p>
        </w:tc>
      </w:tr>
      <w:tr w:rsidR="004C7611" w:rsidTr="00E81677">
        <w:trPr>
          <w:trHeight w:val="383"/>
        </w:trPr>
        <w:tc>
          <w:tcPr>
            <w:tcW w:w="1384" w:type="dxa"/>
            <w:vAlign w:val="center"/>
          </w:tcPr>
          <w:p w:rsidR="004C7611" w:rsidRPr="0090694E" w:rsidRDefault="004C7611" w:rsidP="00E81677">
            <w:pPr>
              <w:rPr>
                <w:rFonts w:ascii="Arial" w:hAnsi="Arial" w:cs="Arial"/>
              </w:rPr>
            </w:pPr>
            <w:r>
              <w:rPr>
                <w:rFonts w:ascii="Arial" w:hAnsi="Arial" w:cs="Arial"/>
              </w:rPr>
              <w:t>Principale</w:t>
            </w:r>
          </w:p>
        </w:tc>
        <w:tc>
          <w:tcPr>
            <w:tcW w:w="8394" w:type="dxa"/>
            <w:vAlign w:val="center"/>
          </w:tcPr>
          <w:p w:rsidR="004C7611" w:rsidRDefault="004C7611" w:rsidP="00E81677">
            <w:pPr>
              <w:rPr>
                <w:rFonts w:ascii="Arial" w:hAnsi="Arial" w:cs="Arial"/>
              </w:rPr>
            </w:pPr>
            <w:r w:rsidRPr="00E903C0">
              <w:rPr>
                <w:rFonts w:ascii="Arial" w:eastAsia="Calibri" w:hAnsi="Arial" w:cs="Arial"/>
              </w:rPr>
              <w:t>Materiali in gomma vulcanizzata ottenuti dal recupero di PFU</w:t>
            </w:r>
          </w:p>
        </w:tc>
      </w:tr>
      <w:tr w:rsidR="004C7611" w:rsidTr="00E81677">
        <w:trPr>
          <w:trHeight w:val="383"/>
        </w:trPr>
        <w:tc>
          <w:tcPr>
            <w:tcW w:w="1384" w:type="dxa"/>
            <w:vAlign w:val="center"/>
          </w:tcPr>
          <w:p w:rsidR="004C7611" w:rsidRDefault="004C7611" w:rsidP="00E81677">
            <w:pPr>
              <w:rPr>
                <w:rFonts w:ascii="Arial" w:hAnsi="Arial" w:cs="Arial"/>
              </w:rPr>
            </w:pPr>
            <w:r>
              <w:rPr>
                <w:rFonts w:ascii="Arial" w:hAnsi="Arial" w:cs="Arial"/>
              </w:rPr>
              <w:t>Sottotitolo</w:t>
            </w:r>
          </w:p>
        </w:tc>
        <w:tc>
          <w:tcPr>
            <w:tcW w:w="8394" w:type="dxa"/>
            <w:vAlign w:val="center"/>
          </w:tcPr>
          <w:p w:rsidR="004C7611" w:rsidRDefault="004C7611" w:rsidP="00E81677">
            <w:pPr>
              <w:rPr>
                <w:rFonts w:ascii="Arial" w:hAnsi="Arial" w:cs="Arial"/>
              </w:rPr>
            </w:pPr>
            <w:r>
              <w:rPr>
                <w:rFonts w:ascii="Arial" w:hAnsi="Arial" w:cs="Arial"/>
              </w:rPr>
              <w:t>Parte 2: Classificazione dei polverini</w:t>
            </w:r>
          </w:p>
        </w:tc>
      </w:tr>
      <w:tr w:rsidR="004C7611" w:rsidTr="00E81677">
        <w:trPr>
          <w:trHeight w:val="1617"/>
        </w:trPr>
        <w:tc>
          <w:tcPr>
            <w:tcW w:w="1384" w:type="dxa"/>
            <w:vAlign w:val="center"/>
          </w:tcPr>
          <w:p w:rsidR="004C7611" w:rsidRDefault="004C7611" w:rsidP="00E81677">
            <w:pPr>
              <w:rPr>
                <w:rFonts w:ascii="Arial" w:hAnsi="Arial" w:cs="Arial"/>
              </w:rPr>
            </w:pPr>
            <w:r>
              <w:rPr>
                <w:rFonts w:ascii="Arial" w:hAnsi="Arial" w:cs="Arial"/>
              </w:rPr>
              <w:t>Sommario</w:t>
            </w:r>
          </w:p>
        </w:tc>
        <w:tc>
          <w:tcPr>
            <w:tcW w:w="8394" w:type="dxa"/>
            <w:vAlign w:val="center"/>
          </w:tcPr>
          <w:p w:rsidR="004C7611" w:rsidRPr="00E903C0" w:rsidRDefault="004C7611" w:rsidP="00E81677">
            <w:pPr>
              <w:keepNext/>
              <w:suppressAutoHyphens/>
              <w:spacing w:line="230" w:lineRule="atLeast"/>
              <w:jc w:val="both"/>
              <w:rPr>
                <w:rFonts w:ascii="Arial" w:eastAsia="Calibri" w:hAnsi="Arial" w:cs="Arial"/>
              </w:rPr>
            </w:pPr>
            <w:r w:rsidRPr="00E903C0">
              <w:rPr>
                <w:rFonts w:ascii="Arial" w:eastAsia="Calibri" w:hAnsi="Arial" w:cs="Arial"/>
              </w:rPr>
              <w:t xml:space="preserve">La norma specifica i requisiti per la classificazione e specificazione dei </w:t>
            </w:r>
            <w:r>
              <w:rPr>
                <w:rFonts w:ascii="Arial" w:eastAsia="Calibri" w:hAnsi="Arial" w:cs="Arial"/>
              </w:rPr>
              <w:t>polverini</w:t>
            </w:r>
            <w:r w:rsidRPr="00E903C0">
              <w:rPr>
                <w:rFonts w:ascii="Arial" w:eastAsia="Calibri" w:hAnsi="Arial" w:cs="Arial"/>
              </w:rPr>
              <w:t xml:space="preserve"> ottenuti dalle operazioni di recupero effettuate su pneumatici fuori uso, determinando una precisa classe</w:t>
            </w:r>
            <w:r>
              <w:rPr>
                <w:rFonts w:ascii="Arial" w:eastAsia="Calibri" w:hAnsi="Arial" w:cs="Arial"/>
              </w:rPr>
              <w:t xml:space="preserve"> per ogni tipo di polverino</w:t>
            </w:r>
            <w:r w:rsidRPr="00E903C0">
              <w:rPr>
                <w:rFonts w:ascii="Arial" w:eastAsia="Calibri" w:hAnsi="Arial" w:cs="Arial"/>
              </w:rPr>
              <w:t xml:space="preserve"> che l’industria utilizza per la produzione di miscele di materiali e/o di manufatti, nelle forme usualmente commercializzate, o per altri fini.</w:t>
            </w:r>
          </w:p>
        </w:tc>
      </w:tr>
    </w:tbl>
    <w:p w:rsidR="004C7611" w:rsidRPr="0090694E" w:rsidRDefault="004C7611" w:rsidP="004C7611">
      <w:pPr>
        <w:rPr>
          <w:rFonts w:ascii="Arial" w:hAnsi="Arial" w:cs="Arial"/>
        </w:rPr>
      </w:pPr>
    </w:p>
    <w:tbl>
      <w:tblPr>
        <w:tblStyle w:val="Grigliatabella"/>
        <w:tblW w:w="0" w:type="auto"/>
        <w:tblLook w:val="04A0"/>
      </w:tblPr>
      <w:tblGrid>
        <w:gridCol w:w="1384"/>
        <w:gridCol w:w="8394"/>
      </w:tblGrid>
      <w:tr w:rsidR="004C7611" w:rsidRPr="0090694E" w:rsidTr="00E81677">
        <w:trPr>
          <w:trHeight w:val="383"/>
        </w:trPr>
        <w:tc>
          <w:tcPr>
            <w:tcW w:w="1384" w:type="dxa"/>
            <w:vAlign w:val="center"/>
          </w:tcPr>
          <w:p w:rsidR="004C7611" w:rsidRPr="0090694E" w:rsidRDefault="004C7611" w:rsidP="00E81677">
            <w:pPr>
              <w:rPr>
                <w:rFonts w:ascii="Arial" w:hAnsi="Arial" w:cs="Arial"/>
              </w:rPr>
            </w:pPr>
            <w:r w:rsidRPr="0090694E">
              <w:rPr>
                <w:rFonts w:ascii="Arial" w:hAnsi="Arial" w:cs="Arial"/>
              </w:rPr>
              <w:t>Gruppo</w:t>
            </w:r>
          </w:p>
        </w:tc>
        <w:tc>
          <w:tcPr>
            <w:tcW w:w="8394" w:type="dxa"/>
            <w:vAlign w:val="center"/>
          </w:tcPr>
          <w:p w:rsidR="004C7611" w:rsidRPr="0090694E" w:rsidRDefault="004C7611" w:rsidP="00E81677">
            <w:pPr>
              <w:rPr>
                <w:rFonts w:ascii="Arial" w:hAnsi="Arial" w:cs="Arial"/>
              </w:rPr>
            </w:pPr>
            <w:r>
              <w:rPr>
                <w:rFonts w:ascii="Arial" w:hAnsi="Arial" w:cs="Arial"/>
              </w:rPr>
              <w:t>Pneumatici Fuori Uso</w:t>
            </w:r>
          </w:p>
        </w:tc>
      </w:tr>
      <w:tr w:rsidR="004C7611" w:rsidTr="00E81677">
        <w:trPr>
          <w:trHeight w:val="383"/>
        </w:trPr>
        <w:tc>
          <w:tcPr>
            <w:tcW w:w="1384" w:type="dxa"/>
            <w:vAlign w:val="center"/>
          </w:tcPr>
          <w:p w:rsidR="004C7611" w:rsidRPr="0090694E" w:rsidRDefault="004C7611" w:rsidP="00E81677">
            <w:pPr>
              <w:rPr>
                <w:rFonts w:ascii="Arial" w:hAnsi="Arial" w:cs="Arial"/>
              </w:rPr>
            </w:pPr>
            <w:r>
              <w:rPr>
                <w:rFonts w:ascii="Arial" w:hAnsi="Arial" w:cs="Arial"/>
              </w:rPr>
              <w:t>Principale</w:t>
            </w:r>
          </w:p>
        </w:tc>
        <w:tc>
          <w:tcPr>
            <w:tcW w:w="8394" w:type="dxa"/>
            <w:vAlign w:val="center"/>
          </w:tcPr>
          <w:p w:rsidR="004C7611" w:rsidRDefault="004C7611" w:rsidP="00E81677">
            <w:pPr>
              <w:rPr>
                <w:rFonts w:ascii="Arial" w:hAnsi="Arial" w:cs="Arial"/>
              </w:rPr>
            </w:pPr>
            <w:r w:rsidRPr="00E903C0">
              <w:rPr>
                <w:rFonts w:ascii="Arial" w:eastAsia="Calibri" w:hAnsi="Arial" w:cs="Arial"/>
              </w:rPr>
              <w:t>Materiali in gomma vulcanizzata ottenuti dal recupero di PFU</w:t>
            </w:r>
          </w:p>
        </w:tc>
      </w:tr>
      <w:tr w:rsidR="004C7611" w:rsidTr="00E81677">
        <w:trPr>
          <w:trHeight w:val="383"/>
        </w:trPr>
        <w:tc>
          <w:tcPr>
            <w:tcW w:w="1384" w:type="dxa"/>
            <w:vAlign w:val="center"/>
          </w:tcPr>
          <w:p w:rsidR="004C7611" w:rsidRDefault="004C7611" w:rsidP="00E81677">
            <w:pPr>
              <w:rPr>
                <w:rFonts w:ascii="Arial" w:hAnsi="Arial" w:cs="Arial"/>
              </w:rPr>
            </w:pPr>
            <w:r>
              <w:rPr>
                <w:rFonts w:ascii="Arial" w:hAnsi="Arial" w:cs="Arial"/>
              </w:rPr>
              <w:t>Sottotitolo</w:t>
            </w:r>
          </w:p>
        </w:tc>
        <w:tc>
          <w:tcPr>
            <w:tcW w:w="8394" w:type="dxa"/>
            <w:vAlign w:val="center"/>
          </w:tcPr>
          <w:p w:rsidR="004C7611" w:rsidRDefault="004C7611" w:rsidP="00E81677">
            <w:pPr>
              <w:rPr>
                <w:rFonts w:ascii="Arial" w:hAnsi="Arial" w:cs="Arial"/>
              </w:rPr>
            </w:pPr>
            <w:r>
              <w:rPr>
                <w:rFonts w:ascii="Arial" w:hAnsi="Arial" w:cs="Arial"/>
              </w:rPr>
              <w:t>Parte 3: Marcatura ed etichettatura</w:t>
            </w:r>
          </w:p>
        </w:tc>
      </w:tr>
      <w:tr w:rsidR="004C7611" w:rsidTr="00E81677">
        <w:trPr>
          <w:trHeight w:val="870"/>
        </w:trPr>
        <w:tc>
          <w:tcPr>
            <w:tcW w:w="1384" w:type="dxa"/>
            <w:vAlign w:val="center"/>
          </w:tcPr>
          <w:p w:rsidR="004C7611" w:rsidRPr="00422F8C" w:rsidRDefault="004C7611" w:rsidP="00E81677">
            <w:pPr>
              <w:rPr>
                <w:rFonts w:ascii="Arial" w:hAnsi="Arial" w:cs="Arial"/>
              </w:rPr>
            </w:pPr>
            <w:r w:rsidRPr="00422F8C">
              <w:rPr>
                <w:rFonts w:ascii="Arial" w:hAnsi="Arial" w:cs="Arial"/>
              </w:rPr>
              <w:t>Sommario</w:t>
            </w:r>
          </w:p>
        </w:tc>
        <w:tc>
          <w:tcPr>
            <w:tcW w:w="8394" w:type="dxa"/>
            <w:vAlign w:val="center"/>
          </w:tcPr>
          <w:p w:rsidR="004C7611" w:rsidRPr="00422F8C" w:rsidRDefault="004C7611" w:rsidP="00E81677">
            <w:pPr>
              <w:ind w:right="-1"/>
              <w:jc w:val="both"/>
              <w:rPr>
                <w:rFonts w:ascii="Arial" w:hAnsi="Arial" w:cs="Arial"/>
              </w:rPr>
            </w:pPr>
            <w:r w:rsidRPr="00422F8C">
              <w:rPr>
                <w:rFonts w:ascii="Arial" w:hAnsi="Arial" w:cs="Arial"/>
              </w:rPr>
              <w:t xml:space="preserve">La norma specifica </w:t>
            </w:r>
            <w:r>
              <w:rPr>
                <w:rFonts w:ascii="Arial" w:hAnsi="Arial" w:cs="Arial"/>
              </w:rPr>
              <w:t>e</w:t>
            </w:r>
            <w:r w:rsidRPr="00422F8C">
              <w:rPr>
                <w:rFonts w:ascii="Arial" w:hAnsi="Arial" w:cs="Arial"/>
              </w:rPr>
              <w:t xml:space="preserve"> definisce il tipo di etichettatura e di codifica dei materiali ottenuti da operazioni di recupero effettuate su pneumatici fuori uso per i quali è stata definita una specifica classificazione</w:t>
            </w:r>
            <w:r>
              <w:rPr>
                <w:rFonts w:ascii="Arial" w:hAnsi="Arial" w:cs="Arial"/>
              </w:rPr>
              <w:t xml:space="preserve"> e specificazione merceologica</w:t>
            </w:r>
            <w:r w:rsidRPr="00422F8C">
              <w:rPr>
                <w:rFonts w:ascii="Arial" w:hAnsi="Arial" w:cs="Arial"/>
              </w:rPr>
              <w:t>.</w:t>
            </w:r>
          </w:p>
        </w:tc>
      </w:tr>
    </w:tbl>
    <w:p w:rsidR="007F3131" w:rsidRPr="0015728B" w:rsidRDefault="007F3131" w:rsidP="00742A4C">
      <w:pPr>
        <w:pStyle w:val="NormaleWeb"/>
        <w:spacing w:before="0" w:beforeAutospacing="0" w:after="0" w:afterAutospacing="0"/>
        <w:rPr>
          <w:rFonts w:ascii="Arial" w:hAnsi="Arial" w:cs="Arial"/>
          <w:sz w:val="22"/>
          <w:szCs w:val="22"/>
        </w:rPr>
      </w:pPr>
    </w:p>
    <w:p w:rsidR="007F3131" w:rsidRPr="0015728B" w:rsidRDefault="00BC0112" w:rsidP="00BC0112">
      <w:pPr>
        <w:pStyle w:val="NormaleWeb"/>
        <w:spacing w:before="0" w:beforeAutospacing="0" w:after="0" w:afterAutospacing="0"/>
        <w:jc w:val="both"/>
        <w:rPr>
          <w:rFonts w:ascii="Arial" w:hAnsi="Arial" w:cs="Arial"/>
          <w:sz w:val="22"/>
          <w:szCs w:val="22"/>
        </w:rPr>
      </w:pPr>
      <w:r w:rsidRPr="0015728B">
        <w:rPr>
          <w:rFonts w:ascii="Arial" w:hAnsi="Arial" w:cs="Arial"/>
          <w:sz w:val="22"/>
          <w:szCs w:val="22"/>
        </w:rPr>
        <w:t>Alla base dell’</w:t>
      </w:r>
      <w:r w:rsidR="007F3131" w:rsidRPr="0015728B">
        <w:rPr>
          <w:rFonts w:ascii="Arial" w:hAnsi="Arial" w:cs="Arial"/>
          <w:sz w:val="22"/>
          <w:szCs w:val="22"/>
        </w:rPr>
        <w:t xml:space="preserve">attività di </w:t>
      </w:r>
      <w:r w:rsidRPr="0015728B">
        <w:rPr>
          <w:rFonts w:ascii="Arial" w:hAnsi="Arial" w:cs="Arial"/>
          <w:sz w:val="22"/>
          <w:szCs w:val="22"/>
        </w:rPr>
        <w:t xml:space="preserve">normazione c’è </w:t>
      </w:r>
      <w:r w:rsidR="007F3131" w:rsidRPr="0015728B">
        <w:rPr>
          <w:rFonts w:ascii="Arial" w:hAnsi="Arial" w:cs="Arial"/>
          <w:sz w:val="22"/>
          <w:szCs w:val="22"/>
        </w:rPr>
        <w:t xml:space="preserve">la partecipazione </w:t>
      </w:r>
      <w:r w:rsidRPr="0015728B">
        <w:rPr>
          <w:rFonts w:ascii="Arial" w:hAnsi="Arial" w:cs="Arial"/>
          <w:sz w:val="22"/>
          <w:szCs w:val="22"/>
        </w:rPr>
        <w:t>degli operatori della filiera</w:t>
      </w:r>
      <w:r w:rsidR="007F3131" w:rsidRPr="0015728B">
        <w:rPr>
          <w:rFonts w:ascii="Arial" w:hAnsi="Arial" w:cs="Arial"/>
          <w:sz w:val="22"/>
          <w:szCs w:val="22"/>
        </w:rPr>
        <w:t xml:space="preserve">, la consensualità e </w:t>
      </w:r>
      <w:r w:rsidRPr="0015728B">
        <w:rPr>
          <w:rFonts w:ascii="Arial" w:hAnsi="Arial" w:cs="Arial"/>
          <w:sz w:val="22"/>
          <w:szCs w:val="22"/>
        </w:rPr>
        <w:t xml:space="preserve">la </w:t>
      </w:r>
      <w:r w:rsidR="007F3131" w:rsidRPr="0015728B">
        <w:rPr>
          <w:rFonts w:ascii="Arial" w:hAnsi="Arial" w:cs="Arial"/>
          <w:sz w:val="22"/>
          <w:szCs w:val="22"/>
        </w:rPr>
        <w:t>trasparenza</w:t>
      </w:r>
      <w:r w:rsidRPr="0015728B">
        <w:rPr>
          <w:rFonts w:ascii="Arial" w:hAnsi="Arial" w:cs="Arial"/>
          <w:sz w:val="22"/>
          <w:szCs w:val="22"/>
        </w:rPr>
        <w:t xml:space="preserve">, per elaborare e definire </w:t>
      </w:r>
      <w:r w:rsidR="007F3131" w:rsidRPr="0015728B">
        <w:rPr>
          <w:rFonts w:ascii="Arial" w:hAnsi="Arial" w:cs="Arial"/>
          <w:sz w:val="22"/>
          <w:szCs w:val="22"/>
        </w:rPr>
        <w:t xml:space="preserve">documenti tecnici che, pur essendo di applicazione volontaria, forniscano riferimenti certi agli operatori </w:t>
      </w:r>
      <w:r w:rsidRPr="0015728B">
        <w:rPr>
          <w:rFonts w:ascii="Arial" w:hAnsi="Arial" w:cs="Arial"/>
          <w:sz w:val="22"/>
          <w:szCs w:val="22"/>
        </w:rPr>
        <w:t xml:space="preserve">stessi </w:t>
      </w:r>
      <w:r w:rsidR="007F3131" w:rsidRPr="0015728B">
        <w:rPr>
          <w:rFonts w:ascii="Arial" w:hAnsi="Arial" w:cs="Arial"/>
          <w:sz w:val="22"/>
          <w:szCs w:val="22"/>
        </w:rPr>
        <w:t>e possano pertanto avere una chiara rilevanza contrattuale.</w:t>
      </w:r>
    </w:p>
    <w:p w:rsidR="007F3131" w:rsidRDefault="00BC0112" w:rsidP="00C62350">
      <w:pPr>
        <w:pStyle w:val="NormaleWeb"/>
        <w:jc w:val="both"/>
        <w:rPr>
          <w:rFonts w:ascii="Arial" w:hAnsi="Arial" w:cs="Arial"/>
          <w:sz w:val="22"/>
          <w:szCs w:val="22"/>
        </w:rPr>
      </w:pPr>
      <w:r w:rsidRPr="0015728B">
        <w:rPr>
          <w:rFonts w:ascii="Arial" w:hAnsi="Arial" w:cs="Arial"/>
          <w:sz w:val="22"/>
          <w:szCs w:val="22"/>
        </w:rPr>
        <w:t>Elaborare un documento che definisca lo stato dell’arte di prodotti, processi e servizi, specificano cioè “come fare bene le cose” garantendo sicurezza, rispetto per</w:t>
      </w:r>
      <w:r w:rsidR="00C62350" w:rsidRPr="0015728B">
        <w:rPr>
          <w:rFonts w:ascii="Arial" w:hAnsi="Arial" w:cs="Arial"/>
          <w:sz w:val="22"/>
          <w:szCs w:val="22"/>
        </w:rPr>
        <w:t xml:space="preserve"> l’ambiente e prestazioni certe, presuppone la partecipazione attiva di rappresentanti di tutte le parti interessate mediante un processo di autoregolamentazione trasparente e di ampia condivisione che mette al servizio di tutti il capitale di conoscenze ed esperienze maturate al fine di migliorare il settore di riferimento. </w:t>
      </w:r>
    </w:p>
    <w:p w:rsidR="004C7611" w:rsidRDefault="00FA3ACC" w:rsidP="00C62350">
      <w:pPr>
        <w:pStyle w:val="NormaleWeb"/>
        <w:jc w:val="both"/>
        <w:rPr>
          <w:rFonts w:ascii="Arial" w:hAnsi="Arial" w:cs="Arial"/>
          <w:sz w:val="22"/>
          <w:szCs w:val="22"/>
        </w:rPr>
      </w:pPr>
      <w:r>
        <w:rPr>
          <w:rFonts w:ascii="Arial" w:hAnsi="Arial" w:cs="Arial"/>
          <w:sz w:val="22"/>
          <w:szCs w:val="22"/>
        </w:rPr>
        <w:t>In virtù di quanto sopra, l’Associazione</w:t>
      </w:r>
      <w:r w:rsidR="004C7611">
        <w:rPr>
          <w:rFonts w:ascii="Arial" w:hAnsi="Arial" w:cs="Arial"/>
          <w:sz w:val="22"/>
          <w:szCs w:val="22"/>
        </w:rPr>
        <w:t xml:space="preserve"> </w:t>
      </w:r>
      <w:r>
        <w:rPr>
          <w:rFonts w:ascii="Arial" w:hAnsi="Arial" w:cs="Arial"/>
          <w:sz w:val="22"/>
          <w:szCs w:val="22"/>
        </w:rPr>
        <w:t>sollecita</w:t>
      </w:r>
      <w:r w:rsidR="00853F35">
        <w:rPr>
          <w:rFonts w:ascii="Arial" w:hAnsi="Arial" w:cs="Arial"/>
          <w:sz w:val="22"/>
          <w:szCs w:val="22"/>
        </w:rPr>
        <w:t xml:space="preserve"> tutti a</w:t>
      </w:r>
      <w:r w:rsidR="004C7611">
        <w:rPr>
          <w:rFonts w:ascii="Arial" w:hAnsi="Arial" w:cs="Arial"/>
          <w:sz w:val="22"/>
          <w:szCs w:val="22"/>
        </w:rPr>
        <w:t xml:space="preserve"> partecipare attivamente </w:t>
      </w:r>
      <w:r>
        <w:rPr>
          <w:rFonts w:ascii="Arial" w:hAnsi="Arial" w:cs="Arial"/>
          <w:sz w:val="22"/>
          <w:szCs w:val="22"/>
        </w:rPr>
        <w:t>alla discussione per la stesura delle norme e a tale scopo saranno proposti degli incontri tra i Soci per portare concretamente il nostro contributo e non ritrovarci con norme fatte in mancanza di un pezzo importante della filiera produttiva: n</w:t>
      </w:r>
      <w:r w:rsidRPr="0015728B">
        <w:rPr>
          <w:rFonts w:ascii="Arial" w:hAnsi="Arial" w:cs="Arial"/>
          <w:sz w:val="22"/>
          <w:szCs w:val="22"/>
        </w:rPr>
        <w:t>on va dimenticato che in innumerevoli esperienze, gli argomenti trattati dalle norme hanno avuto un impatto così determinante da essere richiamate in documenti legislativi con attribuzione di stato cogente pur essendo la norma di natura volontaria.</w:t>
      </w:r>
      <w:r>
        <w:rPr>
          <w:rFonts w:ascii="Arial" w:hAnsi="Arial" w:cs="Arial"/>
          <w:sz w:val="22"/>
          <w:szCs w:val="22"/>
        </w:rPr>
        <w:t xml:space="preserve"> </w:t>
      </w:r>
    </w:p>
    <w:p w:rsidR="00D65EB1" w:rsidRDefault="00FA3ACC" w:rsidP="00D65EB1">
      <w:pPr>
        <w:pStyle w:val="NormaleWeb"/>
        <w:spacing w:after="0" w:afterAutospacing="0"/>
        <w:jc w:val="both"/>
        <w:rPr>
          <w:rFonts w:ascii="Arial" w:hAnsi="Arial" w:cs="Arial"/>
          <w:sz w:val="22"/>
          <w:szCs w:val="22"/>
        </w:rPr>
      </w:pPr>
      <w:r>
        <w:rPr>
          <w:rFonts w:ascii="Arial" w:hAnsi="Arial" w:cs="Arial"/>
          <w:sz w:val="22"/>
          <w:szCs w:val="22"/>
        </w:rPr>
        <w:t>Oltre al confronto interno, le Aziende che volessero partecipare direttamente ai lavori del Gruppo dell’UNI possono farlo iscrivendosi direttamente all’UNI stessa</w:t>
      </w:r>
      <w:r w:rsidR="00D65EB1">
        <w:rPr>
          <w:rFonts w:ascii="Arial" w:hAnsi="Arial" w:cs="Arial"/>
          <w:sz w:val="22"/>
          <w:szCs w:val="22"/>
        </w:rPr>
        <w:t xml:space="preserve"> secondo le modalità previste. </w:t>
      </w:r>
    </w:p>
    <w:p w:rsidR="00FA3ACC" w:rsidRPr="00D65EB1" w:rsidRDefault="00FA3ACC" w:rsidP="00D65EB1">
      <w:pPr>
        <w:pStyle w:val="NormaleWeb"/>
        <w:spacing w:before="0" w:beforeAutospacing="0"/>
        <w:jc w:val="both"/>
        <w:rPr>
          <w:rFonts w:ascii="Arial" w:hAnsi="Arial" w:cs="Arial"/>
          <w:sz w:val="20"/>
          <w:szCs w:val="22"/>
        </w:rPr>
      </w:pPr>
      <w:r w:rsidRPr="00D65EB1">
        <w:rPr>
          <w:rFonts w:ascii="Arial" w:hAnsi="Arial" w:cs="Arial"/>
          <w:sz w:val="18"/>
          <w:szCs w:val="22"/>
        </w:rPr>
        <w:t>(</w:t>
      </w:r>
      <w:r w:rsidR="00D65EB1" w:rsidRPr="00D65EB1">
        <w:rPr>
          <w:rFonts w:ascii="Arial" w:hAnsi="Arial" w:cs="Arial"/>
          <w:sz w:val="18"/>
          <w:szCs w:val="22"/>
        </w:rPr>
        <w:t xml:space="preserve">per informazioni </w:t>
      </w:r>
      <w:hyperlink w:history="1">
        <w:r w:rsidR="00D65EB1" w:rsidRPr="00D65EB1">
          <w:rPr>
            <w:rStyle w:val="Collegamentoipertestuale"/>
            <w:rFonts w:ascii="Arial" w:hAnsi="Arial" w:cs="Arial"/>
            <w:sz w:val="18"/>
            <w:szCs w:val="22"/>
          </w:rPr>
          <w:t xml:space="preserve"> www.uni.com/index.php?option=com_content&amp;view=article&amp;id=167&amp;Itemid=930&amp;lang=it&amp;limitstart=1</w:t>
        </w:r>
      </w:hyperlink>
      <w:r w:rsidR="00D65EB1" w:rsidRPr="00D65EB1">
        <w:rPr>
          <w:rFonts w:ascii="Arial" w:hAnsi="Arial" w:cs="Arial"/>
          <w:sz w:val="20"/>
          <w:szCs w:val="22"/>
        </w:rPr>
        <w:t>)</w:t>
      </w:r>
    </w:p>
    <w:p w:rsidR="00FA3ACC" w:rsidRPr="0015728B" w:rsidRDefault="00FA3ACC" w:rsidP="00D65EB1">
      <w:pPr>
        <w:pStyle w:val="NormaleWeb"/>
        <w:spacing w:before="0" w:beforeAutospacing="0" w:after="0" w:afterAutospacing="0"/>
        <w:jc w:val="both"/>
        <w:rPr>
          <w:rFonts w:ascii="Arial" w:hAnsi="Arial" w:cs="Arial"/>
          <w:sz w:val="22"/>
          <w:szCs w:val="22"/>
        </w:rPr>
      </w:pPr>
    </w:p>
    <w:sectPr w:rsidR="00FA3ACC" w:rsidRPr="0015728B" w:rsidSect="003E5FA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31C"/>
    <w:multiLevelType w:val="multilevel"/>
    <w:tmpl w:val="81E4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1076A"/>
    <w:multiLevelType w:val="multilevel"/>
    <w:tmpl w:val="3CA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A16B2"/>
    <w:multiLevelType w:val="hybridMultilevel"/>
    <w:tmpl w:val="80D4D08A"/>
    <w:lvl w:ilvl="0" w:tplc="0410000F">
      <w:start w:val="1"/>
      <w:numFmt w:val="decimal"/>
      <w:lvlText w:val="%1."/>
      <w:lvlJc w:val="left"/>
      <w:pPr>
        <w:ind w:left="721" w:hanging="360"/>
      </w:pPr>
    </w:lvl>
    <w:lvl w:ilvl="1" w:tplc="04100019" w:tentative="1">
      <w:start w:val="1"/>
      <w:numFmt w:val="lowerLetter"/>
      <w:lvlText w:val="%2."/>
      <w:lvlJc w:val="left"/>
      <w:pPr>
        <w:ind w:left="1441" w:hanging="360"/>
      </w:pPr>
    </w:lvl>
    <w:lvl w:ilvl="2" w:tplc="0410001B" w:tentative="1">
      <w:start w:val="1"/>
      <w:numFmt w:val="lowerRoman"/>
      <w:lvlText w:val="%3."/>
      <w:lvlJc w:val="right"/>
      <w:pPr>
        <w:ind w:left="2161" w:hanging="180"/>
      </w:pPr>
    </w:lvl>
    <w:lvl w:ilvl="3" w:tplc="0410000F" w:tentative="1">
      <w:start w:val="1"/>
      <w:numFmt w:val="decimal"/>
      <w:lvlText w:val="%4."/>
      <w:lvlJc w:val="left"/>
      <w:pPr>
        <w:ind w:left="2881" w:hanging="360"/>
      </w:pPr>
    </w:lvl>
    <w:lvl w:ilvl="4" w:tplc="04100019" w:tentative="1">
      <w:start w:val="1"/>
      <w:numFmt w:val="lowerLetter"/>
      <w:lvlText w:val="%5."/>
      <w:lvlJc w:val="left"/>
      <w:pPr>
        <w:ind w:left="3601" w:hanging="360"/>
      </w:pPr>
    </w:lvl>
    <w:lvl w:ilvl="5" w:tplc="0410001B" w:tentative="1">
      <w:start w:val="1"/>
      <w:numFmt w:val="lowerRoman"/>
      <w:lvlText w:val="%6."/>
      <w:lvlJc w:val="right"/>
      <w:pPr>
        <w:ind w:left="4321" w:hanging="180"/>
      </w:pPr>
    </w:lvl>
    <w:lvl w:ilvl="6" w:tplc="0410000F" w:tentative="1">
      <w:start w:val="1"/>
      <w:numFmt w:val="decimal"/>
      <w:lvlText w:val="%7."/>
      <w:lvlJc w:val="left"/>
      <w:pPr>
        <w:ind w:left="5041" w:hanging="360"/>
      </w:pPr>
    </w:lvl>
    <w:lvl w:ilvl="7" w:tplc="04100019" w:tentative="1">
      <w:start w:val="1"/>
      <w:numFmt w:val="lowerLetter"/>
      <w:lvlText w:val="%8."/>
      <w:lvlJc w:val="left"/>
      <w:pPr>
        <w:ind w:left="5761" w:hanging="360"/>
      </w:pPr>
    </w:lvl>
    <w:lvl w:ilvl="8" w:tplc="0410001B" w:tentative="1">
      <w:start w:val="1"/>
      <w:numFmt w:val="lowerRoman"/>
      <w:lvlText w:val="%9."/>
      <w:lvlJc w:val="right"/>
      <w:pPr>
        <w:ind w:left="6481" w:hanging="180"/>
      </w:pPr>
    </w:lvl>
  </w:abstractNum>
  <w:abstractNum w:abstractNumId="3">
    <w:nsid w:val="279C52D4"/>
    <w:multiLevelType w:val="multilevel"/>
    <w:tmpl w:val="D16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22AE5"/>
    <w:multiLevelType w:val="multilevel"/>
    <w:tmpl w:val="800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C4645"/>
    <w:multiLevelType w:val="multilevel"/>
    <w:tmpl w:val="258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B27701"/>
    <w:multiLevelType w:val="multilevel"/>
    <w:tmpl w:val="45A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F3131"/>
    <w:rsid w:val="00027C21"/>
    <w:rsid w:val="00125A72"/>
    <w:rsid w:val="0015728B"/>
    <w:rsid w:val="003E5FAC"/>
    <w:rsid w:val="004C7611"/>
    <w:rsid w:val="004D06F5"/>
    <w:rsid w:val="00644B54"/>
    <w:rsid w:val="00742A4C"/>
    <w:rsid w:val="007F3131"/>
    <w:rsid w:val="00853F35"/>
    <w:rsid w:val="008619F8"/>
    <w:rsid w:val="009E63DA"/>
    <w:rsid w:val="00BC0112"/>
    <w:rsid w:val="00BC1092"/>
    <w:rsid w:val="00C62350"/>
    <w:rsid w:val="00C935E0"/>
    <w:rsid w:val="00D65EB1"/>
    <w:rsid w:val="00DA4FFD"/>
    <w:rsid w:val="00DF2098"/>
    <w:rsid w:val="00E3244B"/>
    <w:rsid w:val="00FA3A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5F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F31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3131"/>
    <w:rPr>
      <w:b/>
      <w:bCs/>
    </w:rPr>
  </w:style>
  <w:style w:type="character" w:styleId="Enfasicorsivo">
    <w:name w:val="Emphasis"/>
    <w:basedOn w:val="Carpredefinitoparagrafo"/>
    <w:uiPriority w:val="20"/>
    <w:qFormat/>
    <w:rsid w:val="007F3131"/>
    <w:rPr>
      <w:i/>
      <w:iCs/>
    </w:rPr>
  </w:style>
  <w:style w:type="paragraph" w:styleId="Paragrafoelenco">
    <w:name w:val="List Paragraph"/>
    <w:basedOn w:val="Normale"/>
    <w:uiPriority w:val="34"/>
    <w:qFormat/>
    <w:rsid w:val="0015728B"/>
    <w:pPr>
      <w:ind w:left="720"/>
      <w:contextualSpacing/>
    </w:pPr>
  </w:style>
  <w:style w:type="table" w:styleId="Grigliatabella">
    <w:name w:val="Table Grid"/>
    <w:basedOn w:val="Tabellanormale"/>
    <w:uiPriority w:val="59"/>
    <w:rsid w:val="004C7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65E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Mina Salamino</cp:lastModifiedBy>
  <cp:revision>2</cp:revision>
  <dcterms:created xsi:type="dcterms:W3CDTF">2013-01-30T13:58:00Z</dcterms:created>
  <dcterms:modified xsi:type="dcterms:W3CDTF">2013-01-30T13:58:00Z</dcterms:modified>
</cp:coreProperties>
</file>