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25B4" w14:textId="26A83374" w:rsidR="00544F5B" w:rsidRPr="00413392" w:rsidRDefault="00544F5B" w:rsidP="00A071C2">
      <w:pPr>
        <w:pStyle w:val="Heading1"/>
        <w:shd w:val="clear" w:color="auto" w:fill="FFFFFF"/>
        <w:jc w:val="both"/>
        <w:rPr>
          <w:color w:val="404040"/>
          <w:sz w:val="24"/>
          <w:szCs w:val="24"/>
        </w:rPr>
      </w:pPr>
      <w:r w:rsidRPr="00413392">
        <w:rPr>
          <w:rFonts w:ascii="Calibri-BoldItalic" w:hAnsi="Calibri-BoldItalic" w:cs="Calibri-BoldItalic"/>
          <w:color w:val="002060"/>
          <w:sz w:val="26"/>
          <w:szCs w:val="26"/>
          <w:lang w:val="en-US"/>
        </w:rPr>
        <w:t xml:space="preserve">The Sustainable Product Initiative (SPI): </w:t>
      </w:r>
      <w:r w:rsidR="00413392" w:rsidRPr="00413392">
        <w:rPr>
          <w:rFonts w:ascii="Calibri-BoldItalic" w:hAnsi="Calibri-BoldItalic" w:cs="Calibri-BoldItalic"/>
          <w:color w:val="002060"/>
          <w:sz w:val="26"/>
          <w:szCs w:val="26"/>
          <w:lang w:val="en-US"/>
        </w:rPr>
        <w:t xml:space="preserve">Proposal for </w:t>
      </w:r>
      <w:proofErr w:type="spellStart"/>
      <w:r w:rsidR="00413392" w:rsidRPr="00413392">
        <w:rPr>
          <w:rFonts w:ascii="Calibri-BoldItalic" w:hAnsi="Calibri-BoldItalic" w:cs="Calibri-BoldItalic"/>
          <w:color w:val="002060"/>
          <w:sz w:val="26"/>
          <w:szCs w:val="26"/>
          <w:lang w:val="en-US"/>
        </w:rPr>
        <w:t>Ecodesign</w:t>
      </w:r>
      <w:proofErr w:type="spellEnd"/>
      <w:r w:rsidR="00413392" w:rsidRPr="00413392">
        <w:rPr>
          <w:rFonts w:ascii="Calibri-BoldItalic" w:hAnsi="Calibri-BoldItalic" w:cs="Calibri-BoldItalic"/>
          <w:color w:val="002060"/>
          <w:sz w:val="26"/>
          <w:szCs w:val="26"/>
          <w:lang w:val="en-US"/>
        </w:rPr>
        <w:t xml:space="preserve"> for Sustainable Products Regulation (</w:t>
      </w:r>
      <w:r w:rsidRPr="00413392">
        <w:rPr>
          <w:rFonts w:ascii="Calibri-BoldItalic" w:hAnsi="Calibri-BoldItalic" w:cs="Calibri-BoldItalic"/>
          <w:color w:val="002060"/>
          <w:sz w:val="26"/>
          <w:szCs w:val="26"/>
          <w:lang w:val="en-US"/>
        </w:rPr>
        <w:t>ESPR</w:t>
      </w:r>
      <w:r w:rsidR="00413392" w:rsidRPr="00413392">
        <w:rPr>
          <w:rFonts w:ascii="Calibri-BoldItalic" w:hAnsi="Calibri-BoldItalic" w:cs="Calibri-BoldItalic"/>
          <w:color w:val="002060"/>
          <w:sz w:val="26"/>
          <w:szCs w:val="26"/>
          <w:lang w:val="en-US"/>
        </w:rPr>
        <w:t>)</w:t>
      </w:r>
      <w:r w:rsidRPr="00413392">
        <w:rPr>
          <w:rFonts w:ascii="Calibri-BoldItalic" w:hAnsi="Calibri-BoldItalic" w:cs="Calibri-BoldItalic"/>
          <w:color w:val="002060"/>
          <w:sz w:val="26"/>
          <w:szCs w:val="26"/>
          <w:lang w:val="en-US"/>
        </w:rPr>
        <w:t xml:space="preserve"> proposal</w:t>
      </w:r>
      <w:r w:rsidRPr="00413392">
        <w:rPr>
          <w:rFonts w:ascii="Calibri-BoldItalic" w:hAnsi="Calibri-BoldItalic" w:cs="Calibri-BoldItalic"/>
          <w:color w:val="002060"/>
          <w:sz w:val="26"/>
          <w:szCs w:val="26"/>
        </w:rPr>
        <w:t>, Communication &amp; Eco-Design Working Plan 2022-2024</w:t>
      </w:r>
    </w:p>
    <w:p w14:paraId="6C629075" w14:textId="0A557FF0" w:rsidR="00544F5B" w:rsidRPr="00413392" w:rsidRDefault="00544F5B" w:rsidP="00A071C2">
      <w:pPr>
        <w:pStyle w:val="Heading2"/>
        <w:jc w:val="both"/>
        <w:rPr>
          <w:color w:val="FF6600"/>
          <w:sz w:val="36"/>
          <w:szCs w:val="36"/>
          <w:lang w:val="en-US"/>
        </w:rPr>
      </w:pPr>
      <w:r w:rsidRPr="00413392">
        <w:rPr>
          <w:color w:val="FF6600"/>
          <w:sz w:val="36"/>
          <w:szCs w:val="36"/>
          <w:lang w:val="en-US"/>
        </w:rPr>
        <w:t>Background</w:t>
      </w:r>
    </w:p>
    <w:p w14:paraId="4DA4FECA" w14:textId="4A0163F5" w:rsidR="00544F5B" w:rsidRPr="006C034B" w:rsidRDefault="00544F5B" w:rsidP="00A071C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 w:rsidRPr="00413392">
        <w:rPr>
          <w:rFonts w:asciiTheme="majorHAnsi" w:hAnsiTheme="majorHAnsi" w:cstheme="majorHAnsi"/>
          <w:color w:val="002060"/>
          <w:sz w:val="24"/>
          <w:szCs w:val="24"/>
        </w:rPr>
        <w:t xml:space="preserve">The new </w:t>
      </w:r>
      <w:r w:rsidRPr="00413392">
        <w:rPr>
          <w:rFonts w:asciiTheme="majorHAnsi" w:hAnsiTheme="majorHAnsi" w:cstheme="majorHAnsi"/>
          <w:b/>
          <w:bCs/>
          <w:color w:val="002060"/>
          <w:sz w:val="24"/>
          <w:szCs w:val="24"/>
        </w:rPr>
        <w:t>Eco-Design for Sustainable Products Regulation (ESPR) proposal</w:t>
      </w:r>
      <w:r w:rsidR="00413392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 </w:t>
      </w:r>
      <w:r w:rsidRPr="00413392">
        <w:rPr>
          <w:rFonts w:asciiTheme="majorHAnsi" w:hAnsiTheme="majorHAnsi" w:cstheme="majorHAnsi"/>
          <w:b/>
          <w:bCs/>
          <w:color w:val="002060"/>
          <w:sz w:val="24"/>
          <w:szCs w:val="24"/>
        </w:rPr>
        <w:t>presented on 30</w:t>
      </w:r>
      <w:r w:rsidR="00901471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 </w:t>
      </w:r>
      <w:r w:rsidRPr="00413392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March </w:t>
      </w:r>
      <w:r w:rsidRPr="00413392">
        <w:rPr>
          <w:rFonts w:asciiTheme="majorHAnsi" w:hAnsiTheme="majorHAnsi" w:cstheme="majorHAnsi"/>
          <w:color w:val="002060"/>
          <w:sz w:val="24"/>
          <w:szCs w:val="24"/>
        </w:rPr>
        <w:t>replaces the Eco-Design Directive as the new EU’s</w:t>
      </w:r>
      <w:r w:rsidR="00413392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 </w:t>
      </w:r>
      <w:r w:rsidRPr="00413392">
        <w:rPr>
          <w:rFonts w:asciiTheme="majorHAnsi" w:hAnsiTheme="majorHAnsi" w:cstheme="majorHAnsi"/>
          <w:color w:val="002060"/>
          <w:sz w:val="24"/>
          <w:szCs w:val="24"/>
        </w:rPr>
        <w:t>product framework</w:t>
      </w:r>
      <w:r w:rsidR="00901471">
        <w:rPr>
          <w:rFonts w:asciiTheme="majorHAnsi" w:hAnsiTheme="majorHAnsi" w:cstheme="majorHAnsi"/>
          <w:color w:val="002060"/>
          <w:sz w:val="24"/>
          <w:szCs w:val="24"/>
          <w:lang w:val="en-US"/>
        </w:rPr>
        <w:t>.</w:t>
      </w:r>
    </w:p>
    <w:p w14:paraId="624F6B40" w14:textId="77777777" w:rsidR="00544F5B" w:rsidRDefault="00544F5B" w:rsidP="00A071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060"/>
          <w:sz w:val="28"/>
          <w:szCs w:val="28"/>
        </w:rPr>
      </w:pPr>
    </w:p>
    <w:p w14:paraId="352AC0CE" w14:textId="43FC8D03" w:rsidR="006C034B" w:rsidRPr="006C034B" w:rsidRDefault="00544F5B" w:rsidP="00A071C2">
      <w:pPr>
        <w:pStyle w:val="Heading2"/>
        <w:jc w:val="both"/>
        <w:rPr>
          <w:color w:val="FF6600"/>
          <w:sz w:val="36"/>
          <w:szCs w:val="36"/>
          <w:lang w:val="en-US"/>
        </w:rPr>
      </w:pPr>
      <w:r w:rsidRPr="00413392">
        <w:rPr>
          <w:color w:val="FF6600"/>
          <w:sz w:val="36"/>
          <w:szCs w:val="36"/>
          <w:lang w:val="en-US"/>
        </w:rPr>
        <w:t>Political ambition:</w:t>
      </w:r>
    </w:p>
    <w:p w14:paraId="11D74574" w14:textId="4CFD39D7" w:rsidR="00544F5B" w:rsidRPr="00413392" w:rsidRDefault="00544F5B" w:rsidP="00A071C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413392">
        <w:rPr>
          <w:rFonts w:asciiTheme="majorHAnsi" w:hAnsiTheme="majorHAnsi" w:cstheme="majorHAnsi"/>
          <w:color w:val="002060"/>
          <w:sz w:val="24"/>
          <w:szCs w:val="24"/>
        </w:rPr>
        <w:t>• Setting a framework with harmonized requirements to make all products</w:t>
      </w:r>
      <w:r w:rsidR="006C034B">
        <w:rPr>
          <w:rFonts w:asciiTheme="majorHAnsi" w:hAnsiTheme="majorHAnsi" w:cstheme="majorHAnsi"/>
          <w:color w:val="002060"/>
          <w:sz w:val="24"/>
          <w:szCs w:val="24"/>
          <w:lang w:val="en-US"/>
        </w:rPr>
        <w:t xml:space="preserve"> </w:t>
      </w:r>
      <w:r w:rsidRPr="00413392">
        <w:rPr>
          <w:rFonts w:asciiTheme="majorHAnsi" w:hAnsiTheme="majorHAnsi" w:cstheme="majorHAnsi"/>
          <w:color w:val="002060"/>
          <w:sz w:val="24"/>
          <w:szCs w:val="24"/>
        </w:rPr>
        <w:t>sustainable in the EU (with a few exceptions)</w:t>
      </w:r>
    </w:p>
    <w:p w14:paraId="59681313" w14:textId="22F09B2B" w:rsidR="00544F5B" w:rsidRPr="00413392" w:rsidRDefault="00544F5B" w:rsidP="00A071C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413392">
        <w:rPr>
          <w:rFonts w:asciiTheme="majorHAnsi" w:hAnsiTheme="majorHAnsi" w:cstheme="majorHAnsi"/>
          <w:color w:val="002060"/>
          <w:sz w:val="24"/>
          <w:szCs w:val="24"/>
        </w:rPr>
        <w:t>• Circularity as a means to achieve strategic autonomy in the EU and reduce</w:t>
      </w:r>
      <w:r w:rsidR="006C034B">
        <w:rPr>
          <w:rFonts w:asciiTheme="majorHAnsi" w:hAnsiTheme="majorHAnsi" w:cstheme="majorHAnsi"/>
          <w:color w:val="002060"/>
          <w:sz w:val="24"/>
          <w:szCs w:val="24"/>
          <w:lang w:val="en-US"/>
        </w:rPr>
        <w:t xml:space="preserve"> </w:t>
      </w:r>
      <w:r w:rsidRPr="00413392">
        <w:rPr>
          <w:rFonts w:asciiTheme="majorHAnsi" w:hAnsiTheme="majorHAnsi" w:cstheme="majorHAnsi"/>
          <w:color w:val="002060"/>
          <w:sz w:val="24"/>
          <w:szCs w:val="24"/>
        </w:rPr>
        <w:t xml:space="preserve">primary raw materials </w:t>
      </w:r>
      <w:r w:rsidR="00745DFD" w:rsidRPr="00413392">
        <w:rPr>
          <w:rFonts w:asciiTheme="majorHAnsi" w:hAnsiTheme="majorHAnsi" w:cstheme="majorHAnsi"/>
          <w:color w:val="002060"/>
          <w:sz w:val="24"/>
          <w:szCs w:val="24"/>
        </w:rPr>
        <w:t>dependence</w:t>
      </w:r>
      <w:r w:rsidRPr="00413392">
        <w:rPr>
          <w:rFonts w:asciiTheme="majorHAnsi" w:hAnsiTheme="majorHAnsi" w:cstheme="majorHAnsi"/>
          <w:color w:val="002060"/>
          <w:sz w:val="24"/>
          <w:szCs w:val="24"/>
        </w:rPr>
        <w:t xml:space="preserve"> from other regions (incl. </w:t>
      </w:r>
      <w:r w:rsidR="00745DFD" w:rsidRPr="00413392">
        <w:rPr>
          <w:rFonts w:asciiTheme="majorHAnsi" w:hAnsiTheme="majorHAnsi" w:cstheme="majorHAnsi"/>
          <w:color w:val="002060"/>
          <w:sz w:val="24"/>
          <w:szCs w:val="24"/>
        </w:rPr>
        <w:t>Russia</w:t>
      </w:r>
      <w:r w:rsidRPr="00413392">
        <w:rPr>
          <w:rFonts w:asciiTheme="majorHAnsi" w:hAnsiTheme="majorHAnsi" w:cstheme="majorHAnsi"/>
          <w:color w:val="002060"/>
          <w:sz w:val="24"/>
          <w:szCs w:val="24"/>
        </w:rPr>
        <w:t>)</w:t>
      </w:r>
    </w:p>
    <w:p w14:paraId="5A2DAAF2" w14:textId="77777777" w:rsidR="00544F5B" w:rsidRDefault="00544F5B" w:rsidP="00A071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2060"/>
          <w:sz w:val="28"/>
          <w:szCs w:val="28"/>
        </w:rPr>
      </w:pPr>
    </w:p>
    <w:p w14:paraId="29F408C6" w14:textId="57A9E09B" w:rsidR="00183793" w:rsidRDefault="00544F5B" w:rsidP="00A071C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color w:val="002060"/>
          <w:sz w:val="24"/>
          <w:szCs w:val="24"/>
        </w:rPr>
        <w:t xml:space="preserve">Together with the ESPR, the EU Commission has adopted </w:t>
      </w:r>
      <w:r w:rsidRPr="00183793">
        <w:rPr>
          <w:rFonts w:asciiTheme="majorHAnsi" w:hAnsiTheme="majorHAnsi" w:cstheme="majorHAnsi"/>
          <w:b/>
          <w:bCs/>
          <w:color w:val="002060"/>
          <w:sz w:val="24"/>
          <w:szCs w:val="24"/>
        </w:rPr>
        <w:t>two relevant</w:t>
      </w:r>
      <w:r w:rsidR="00183793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 </w:t>
      </w:r>
      <w:r w:rsidRPr="00183793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initiatives </w:t>
      </w:r>
      <w:r w:rsidRPr="00183793">
        <w:rPr>
          <w:rFonts w:asciiTheme="majorHAnsi" w:hAnsiTheme="majorHAnsi" w:cstheme="majorHAnsi"/>
          <w:color w:val="002060"/>
          <w:sz w:val="24"/>
          <w:szCs w:val="24"/>
        </w:rPr>
        <w:t>closely linked to the ESPR and the current Eco-Design Directive:</w:t>
      </w:r>
    </w:p>
    <w:p w14:paraId="2B1A7A71" w14:textId="77777777" w:rsidR="00183793" w:rsidRPr="00183793" w:rsidRDefault="00183793" w:rsidP="00A071C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2060"/>
          <w:sz w:val="24"/>
          <w:szCs w:val="24"/>
        </w:rPr>
      </w:pPr>
    </w:p>
    <w:p w14:paraId="669680DB" w14:textId="77777777" w:rsidR="00544F5B" w:rsidRPr="00183793" w:rsidRDefault="00544F5B" w:rsidP="00A071C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color w:val="000000"/>
          <w:sz w:val="24"/>
          <w:szCs w:val="24"/>
        </w:rPr>
        <w:t xml:space="preserve">• </w:t>
      </w:r>
      <w:r w:rsidRPr="00183793">
        <w:rPr>
          <w:rFonts w:asciiTheme="majorHAnsi" w:hAnsiTheme="majorHAnsi" w:cstheme="majorHAnsi"/>
          <w:color w:val="002060"/>
          <w:sz w:val="24"/>
          <w:szCs w:val="24"/>
        </w:rPr>
        <w:t xml:space="preserve">The </w:t>
      </w:r>
      <w:r w:rsidRPr="00183793">
        <w:rPr>
          <w:rFonts w:asciiTheme="majorHAnsi" w:hAnsiTheme="majorHAnsi" w:cstheme="majorHAnsi"/>
          <w:b/>
          <w:bCs/>
          <w:color w:val="002060"/>
          <w:sz w:val="24"/>
          <w:szCs w:val="24"/>
        </w:rPr>
        <w:t>Communication on making sustainable products the norm</w:t>
      </w:r>
    </w:p>
    <w:p w14:paraId="0D19DC6E" w14:textId="6C4097FB" w:rsidR="00544F5B" w:rsidRPr="00183793" w:rsidRDefault="00544F5B" w:rsidP="00A071C2">
      <w:pPr>
        <w:ind w:firstLine="284"/>
        <w:jc w:val="both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color w:val="000000"/>
          <w:sz w:val="24"/>
          <w:szCs w:val="24"/>
        </w:rPr>
        <w:t xml:space="preserve">• </w:t>
      </w:r>
      <w:r w:rsidRPr="00183793">
        <w:rPr>
          <w:rFonts w:asciiTheme="majorHAnsi" w:hAnsiTheme="majorHAnsi" w:cstheme="majorHAnsi"/>
          <w:color w:val="002060"/>
          <w:sz w:val="24"/>
          <w:szCs w:val="24"/>
        </w:rPr>
        <w:t xml:space="preserve">The </w:t>
      </w:r>
      <w:r w:rsidRPr="00183793">
        <w:rPr>
          <w:rFonts w:asciiTheme="majorHAnsi" w:hAnsiTheme="majorHAnsi" w:cstheme="majorHAnsi"/>
          <w:b/>
          <w:bCs/>
          <w:color w:val="002060"/>
          <w:sz w:val="24"/>
          <w:szCs w:val="24"/>
        </w:rPr>
        <w:t>Eco-design and Energy Labelling Working Plan 2022-2024</w:t>
      </w:r>
    </w:p>
    <w:p w14:paraId="531CFB7E" w14:textId="19E8E213" w:rsidR="00183793" w:rsidRPr="00183793" w:rsidRDefault="00544F5B" w:rsidP="00A071C2">
      <w:pPr>
        <w:pStyle w:val="Heading2"/>
        <w:jc w:val="both"/>
        <w:rPr>
          <w:color w:val="FF6600"/>
          <w:sz w:val="36"/>
          <w:szCs w:val="36"/>
          <w:lang w:val="en-US"/>
        </w:rPr>
      </w:pPr>
      <w:r w:rsidRPr="00413392">
        <w:rPr>
          <w:color w:val="FF6600"/>
          <w:sz w:val="36"/>
          <w:szCs w:val="36"/>
          <w:lang w:val="en-US"/>
        </w:rPr>
        <w:t>Key aspects:</w:t>
      </w:r>
    </w:p>
    <w:p w14:paraId="56CEA968" w14:textId="75D4A030" w:rsidR="00544F5B" w:rsidRPr="00183793" w:rsidRDefault="00544F5B" w:rsidP="00A071C2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b/>
          <w:bCs/>
          <w:color w:val="002060"/>
          <w:sz w:val="24"/>
          <w:szCs w:val="24"/>
        </w:rPr>
        <w:t>Scope extension beyond energy-related products - almost all products impacted</w:t>
      </w:r>
    </w:p>
    <w:p w14:paraId="7912420D" w14:textId="7AE828AC" w:rsidR="00544F5B" w:rsidRDefault="00544F5B" w:rsidP="00A071C2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b/>
          <w:bCs/>
          <w:color w:val="002060"/>
          <w:sz w:val="24"/>
          <w:szCs w:val="24"/>
        </w:rPr>
        <w:t>Establishes eco-design requirements for product groups beyond energy efficiency</w:t>
      </w:r>
    </w:p>
    <w:p w14:paraId="376D3609" w14:textId="7A96EEC5" w:rsidR="00183793" w:rsidRPr="00183793" w:rsidRDefault="00183793" w:rsidP="00A071C2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b/>
          <w:bCs/>
          <w:color w:val="002060"/>
          <w:sz w:val="24"/>
          <w:szCs w:val="24"/>
        </w:rPr>
        <w:t>Increased focus on product information (e.g. Digital product Passport; labels)</w:t>
      </w:r>
    </w:p>
    <w:p w14:paraId="7A7D4279" w14:textId="01102ED1" w:rsidR="00544F5B" w:rsidRPr="00183793" w:rsidRDefault="00544F5B" w:rsidP="00A071C2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b/>
          <w:bCs/>
          <w:color w:val="002060"/>
          <w:sz w:val="24"/>
          <w:szCs w:val="24"/>
        </w:rPr>
        <w:t>Measures to prevent destruction of unsold consumer goods</w:t>
      </w:r>
    </w:p>
    <w:p w14:paraId="64E0C00C" w14:textId="536E1A87" w:rsidR="00544F5B" w:rsidRPr="00183793" w:rsidRDefault="00544F5B" w:rsidP="00A071C2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b/>
          <w:bCs/>
          <w:color w:val="002060"/>
          <w:sz w:val="24"/>
          <w:szCs w:val="24"/>
        </w:rPr>
        <w:t>Incentivising best performing products, incl. through mandatory public procurement</w:t>
      </w:r>
    </w:p>
    <w:p w14:paraId="5AD00B27" w14:textId="77777777" w:rsidR="00183793" w:rsidRDefault="00183793" w:rsidP="00A071C2">
      <w:pPr>
        <w:jc w:val="both"/>
        <w:rPr>
          <w:rFonts w:asciiTheme="majorHAnsi" w:eastAsiaTheme="majorEastAsia" w:hAnsiTheme="majorHAnsi" w:cstheme="majorBidi"/>
          <w:color w:val="FF6600"/>
          <w:sz w:val="36"/>
          <w:szCs w:val="36"/>
          <w:lang w:val="en-US"/>
        </w:rPr>
      </w:pPr>
    </w:p>
    <w:p w14:paraId="41FC9019" w14:textId="2CB29A23" w:rsidR="00544F5B" w:rsidRPr="00183793" w:rsidRDefault="00183793" w:rsidP="00A071C2">
      <w:pPr>
        <w:jc w:val="both"/>
        <w:rPr>
          <w:rFonts w:asciiTheme="majorHAnsi" w:eastAsiaTheme="majorEastAsia" w:hAnsiTheme="majorHAnsi" w:cstheme="majorBidi"/>
          <w:color w:val="FF6600"/>
          <w:sz w:val="36"/>
          <w:szCs w:val="36"/>
          <w:lang w:val="en-US"/>
        </w:rPr>
      </w:pPr>
      <w:r w:rsidRPr="00183793">
        <w:rPr>
          <w:rFonts w:asciiTheme="majorHAnsi" w:eastAsiaTheme="majorEastAsia" w:hAnsiTheme="majorHAnsi" w:cstheme="majorBidi"/>
          <w:color w:val="FF6600"/>
          <w:sz w:val="36"/>
          <w:szCs w:val="36"/>
          <w:lang w:val="en-US"/>
        </w:rPr>
        <w:t>ESPR proposal: Building on the Eco-design framework</w:t>
      </w:r>
    </w:p>
    <w:p w14:paraId="1D222EE0" w14:textId="2EE51A0F" w:rsidR="00544F5B" w:rsidRDefault="00544F5B" w:rsidP="00A071C2">
      <w:pPr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61D599" wp14:editId="6D00D31B">
            <wp:extent cx="5724525" cy="1771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6DBE" w14:textId="77777777" w:rsidR="003F3FA7" w:rsidRPr="00183793" w:rsidRDefault="003F3FA7" w:rsidP="00A071C2">
      <w:pPr>
        <w:pStyle w:val="Heading2"/>
        <w:jc w:val="both"/>
        <w:rPr>
          <w:color w:val="FF6600"/>
          <w:sz w:val="36"/>
          <w:szCs w:val="36"/>
          <w:lang w:val="en-US"/>
        </w:rPr>
      </w:pPr>
      <w:r w:rsidRPr="00183793">
        <w:rPr>
          <w:color w:val="FF6600"/>
          <w:sz w:val="36"/>
          <w:szCs w:val="36"/>
          <w:lang w:val="en-US"/>
        </w:rPr>
        <w:lastRenderedPageBreak/>
        <w:t xml:space="preserve">Hot topics of the initiative </w:t>
      </w:r>
    </w:p>
    <w:p w14:paraId="3DE1BD99" w14:textId="77777777" w:rsidR="00183793" w:rsidRDefault="00183793" w:rsidP="00A071C2">
      <w:pPr>
        <w:jc w:val="both"/>
        <w:rPr>
          <w:sz w:val="40"/>
          <w:szCs w:val="40"/>
        </w:rPr>
      </w:pPr>
    </w:p>
    <w:p w14:paraId="574FC71A" w14:textId="6521C4B5" w:rsidR="003F3FA7" w:rsidRPr="00183793" w:rsidRDefault="003F3FA7" w:rsidP="00A071C2">
      <w:pPr>
        <w:pStyle w:val="Heading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183793">
        <w:rPr>
          <w:b/>
          <w:bCs/>
          <w:sz w:val="28"/>
          <w:szCs w:val="28"/>
        </w:rPr>
        <w:t>Tailored approach per product group</w:t>
      </w:r>
    </w:p>
    <w:p w14:paraId="3478D7DC" w14:textId="77777777" w:rsidR="00183793" w:rsidRDefault="00183793" w:rsidP="00A071C2">
      <w:pPr>
        <w:jc w:val="both"/>
      </w:pPr>
    </w:p>
    <w:p w14:paraId="40585F20" w14:textId="2C6B8923" w:rsidR="003F3FA7" w:rsidRPr="00183793" w:rsidRDefault="003F3FA7" w:rsidP="00A071C2">
      <w:pPr>
        <w:jc w:val="both"/>
        <w:rPr>
          <w:color w:val="FF6600"/>
        </w:rPr>
      </w:pPr>
      <w:r w:rsidRPr="00183793">
        <w:rPr>
          <w:color w:val="FF6600"/>
        </w:rPr>
        <w:t>What is it?</w:t>
      </w:r>
    </w:p>
    <w:p w14:paraId="3071D299" w14:textId="591C2DB0" w:rsidR="003F3FA7" w:rsidRPr="00183793" w:rsidRDefault="003F3FA7" w:rsidP="00A071C2">
      <w:pPr>
        <w:ind w:left="426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color w:val="002060"/>
          <w:sz w:val="24"/>
          <w:szCs w:val="24"/>
        </w:rPr>
        <w:t>• Eco-design requirements to be set via delegated measures specific to individual</w:t>
      </w:r>
      <w:r w:rsidR="00183793">
        <w:rPr>
          <w:rFonts w:asciiTheme="majorHAnsi" w:hAnsiTheme="majorHAnsi" w:cstheme="majorHAnsi"/>
          <w:color w:val="002060"/>
          <w:sz w:val="24"/>
          <w:szCs w:val="24"/>
          <w:lang w:val="en-US"/>
        </w:rPr>
        <w:t xml:space="preserve"> </w:t>
      </w:r>
      <w:r w:rsidRPr="00183793">
        <w:rPr>
          <w:rFonts w:asciiTheme="majorHAnsi" w:hAnsiTheme="majorHAnsi" w:cstheme="majorHAnsi"/>
          <w:color w:val="002060"/>
          <w:sz w:val="24"/>
          <w:szCs w:val="24"/>
        </w:rPr>
        <w:t>product categories. For each specific</w:t>
      </w:r>
      <w:r w:rsidR="00183793">
        <w:rPr>
          <w:rFonts w:asciiTheme="majorHAnsi" w:hAnsiTheme="majorHAnsi" w:cstheme="majorHAnsi"/>
          <w:color w:val="002060"/>
          <w:sz w:val="24"/>
          <w:szCs w:val="24"/>
          <w:lang w:val="en-US"/>
        </w:rPr>
        <w:t xml:space="preserve"> </w:t>
      </w:r>
      <w:r w:rsidRPr="00183793">
        <w:rPr>
          <w:rFonts w:asciiTheme="majorHAnsi" w:hAnsiTheme="majorHAnsi" w:cstheme="majorHAnsi"/>
          <w:color w:val="002060"/>
          <w:sz w:val="24"/>
          <w:szCs w:val="24"/>
        </w:rPr>
        <w:t>product group, the Commission will consider the most appropriate eco-design requirements.</w:t>
      </w:r>
    </w:p>
    <w:p w14:paraId="03F785F7" w14:textId="24D94FB4" w:rsidR="003F3FA7" w:rsidRPr="00183793" w:rsidRDefault="003F3FA7" w:rsidP="00A071C2">
      <w:pPr>
        <w:ind w:left="426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color w:val="002060"/>
          <w:sz w:val="24"/>
          <w:szCs w:val="24"/>
        </w:rPr>
        <w:t>• However, the ESPR also provides the possibility to adopt “horizontal eco-design requirements” for a group of products with</w:t>
      </w:r>
      <w:r w:rsidR="00183793">
        <w:rPr>
          <w:rFonts w:asciiTheme="majorHAnsi" w:hAnsiTheme="majorHAnsi" w:cstheme="majorHAnsi"/>
          <w:color w:val="002060"/>
          <w:sz w:val="24"/>
          <w:szCs w:val="24"/>
          <w:lang w:val="en-US"/>
        </w:rPr>
        <w:t xml:space="preserve"> </w:t>
      </w:r>
      <w:r w:rsidRPr="00183793">
        <w:rPr>
          <w:rFonts w:asciiTheme="majorHAnsi" w:hAnsiTheme="majorHAnsi" w:cstheme="majorHAnsi"/>
          <w:color w:val="002060"/>
          <w:sz w:val="24"/>
          <w:szCs w:val="24"/>
        </w:rPr>
        <w:t>same characteristics (e.g. electronic devices), also via delegated acts</w:t>
      </w:r>
    </w:p>
    <w:p w14:paraId="2FF6E0EF" w14:textId="77777777" w:rsidR="00183793" w:rsidRPr="00183793" w:rsidRDefault="003F3FA7" w:rsidP="00A071C2">
      <w:pPr>
        <w:jc w:val="both"/>
        <w:rPr>
          <w:rFonts w:asciiTheme="majorHAnsi" w:hAnsiTheme="majorHAnsi" w:cstheme="majorHAnsi"/>
          <w:color w:val="FF6600"/>
          <w:sz w:val="24"/>
          <w:szCs w:val="24"/>
        </w:rPr>
      </w:pPr>
      <w:r w:rsidRPr="00183793">
        <w:rPr>
          <w:rFonts w:asciiTheme="majorHAnsi" w:hAnsiTheme="majorHAnsi" w:cstheme="majorHAnsi"/>
          <w:color w:val="FF6600"/>
          <w:sz w:val="24"/>
          <w:szCs w:val="24"/>
        </w:rPr>
        <w:t>How would it work?</w:t>
      </w:r>
    </w:p>
    <w:p w14:paraId="72A8ACFE" w14:textId="2043DEF2" w:rsidR="003F3FA7" w:rsidRPr="00183793" w:rsidRDefault="003F3FA7" w:rsidP="00A071C2">
      <w:pPr>
        <w:ind w:left="426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color w:val="002060"/>
          <w:sz w:val="24"/>
          <w:szCs w:val="24"/>
        </w:rPr>
        <w:t>Identification of the eco-design requirements (performance and information</w:t>
      </w:r>
      <w:r w:rsidR="00032348">
        <w:rPr>
          <w:rFonts w:asciiTheme="majorHAnsi" w:hAnsiTheme="majorHAnsi" w:cstheme="majorHAnsi"/>
          <w:color w:val="002060"/>
          <w:sz w:val="24"/>
          <w:szCs w:val="24"/>
          <w:lang w:val="en-US"/>
        </w:rPr>
        <w:t xml:space="preserve"> r</w:t>
      </w:r>
      <w:proofErr w:type="spellStart"/>
      <w:r w:rsidRPr="00183793">
        <w:rPr>
          <w:rFonts w:asciiTheme="majorHAnsi" w:hAnsiTheme="majorHAnsi" w:cstheme="majorHAnsi"/>
          <w:color w:val="002060"/>
          <w:sz w:val="24"/>
          <w:szCs w:val="24"/>
        </w:rPr>
        <w:t>equirements</w:t>
      </w:r>
      <w:proofErr w:type="spellEnd"/>
      <w:r w:rsidRPr="00183793">
        <w:rPr>
          <w:rFonts w:asciiTheme="majorHAnsi" w:hAnsiTheme="majorHAnsi" w:cstheme="majorHAnsi"/>
          <w:color w:val="002060"/>
          <w:sz w:val="24"/>
          <w:szCs w:val="24"/>
        </w:rPr>
        <w:t>) will be based</w:t>
      </w:r>
      <w:r w:rsidR="00032348">
        <w:rPr>
          <w:rFonts w:asciiTheme="majorHAnsi" w:hAnsiTheme="majorHAnsi" w:cstheme="majorHAnsi"/>
          <w:color w:val="002060"/>
          <w:sz w:val="24"/>
          <w:szCs w:val="24"/>
          <w:lang w:val="en-US"/>
        </w:rPr>
        <w:t xml:space="preserve"> </w:t>
      </w:r>
      <w:r w:rsidRPr="00183793">
        <w:rPr>
          <w:rFonts w:asciiTheme="majorHAnsi" w:hAnsiTheme="majorHAnsi" w:cstheme="majorHAnsi"/>
          <w:color w:val="002060"/>
          <w:sz w:val="24"/>
          <w:szCs w:val="24"/>
        </w:rPr>
        <w:t xml:space="preserve">on different methods or standards (e.g. PEF, </w:t>
      </w:r>
      <w:proofErr w:type="spellStart"/>
      <w:r w:rsidRPr="00183793">
        <w:rPr>
          <w:rFonts w:asciiTheme="majorHAnsi" w:hAnsiTheme="majorHAnsi" w:cstheme="majorHAnsi"/>
          <w:color w:val="002060"/>
          <w:sz w:val="24"/>
          <w:szCs w:val="24"/>
        </w:rPr>
        <w:t>MEErP</w:t>
      </w:r>
      <w:proofErr w:type="spellEnd"/>
      <w:r w:rsidRPr="00183793">
        <w:rPr>
          <w:rFonts w:asciiTheme="majorHAnsi" w:hAnsiTheme="majorHAnsi" w:cstheme="majorHAnsi"/>
          <w:color w:val="002060"/>
          <w:sz w:val="24"/>
          <w:szCs w:val="24"/>
        </w:rPr>
        <w:t>)</w:t>
      </w:r>
    </w:p>
    <w:p w14:paraId="369A7EDA" w14:textId="77777777" w:rsidR="00032348" w:rsidRDefault="003F3FA7" w:rsidP="00A071C2">
      <w:pPr>
        <w:jc w:val="both"/>
        <w:rPr>
          <w:rFonts w:asciiTheme="majorHAnsi" w:hAnsiTheme="majorHAnsi" w:cstheme="majorHAnsi"/>
          <w:color w:val="FF6600"/>
          <w:sz w:val="24"/>
          <w:szCs w:val="24"/>
        </w:rPr>
      </w:pPr>
      <w:r w:rsidRPr="00032348">
        <w:rPr>
          <w:rFonts w:asciiTheme="majorHAnsi" w:hAnsiTheme="majorHAnsi" w:cstheme="majorHAnsi"/>
          <w:color w:val="FF6600"/>
          <w:sz w:val="24"/>
          <w:szCs w:val="24"/>
        </w:rPr>
        <w:t xml:space="preserve">Bans? </w:t>
      </w:r>
    </w:p>
    <w:p w14:paraId="70C7C977" w14:textId="1336C118" w:rsidR="003F3FA7" w:rsidRPr="00183793" w:rsidRDefault="003F3FA7" w:rsidP="00A071C2">
      <w:pPr>
        <w:ind w:left="426" w:hanging="426"/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183793">
        <w:rPr>
          <w:rFonts w:asciiTheme="majorHAnsi" w:hAnsiTheme="majorHAnsi" w:cstheme="majorHAnsi"/>
          <w:color w:val="002060"/>
          <w:sz w:val="24"/>
          <w:szCs w:val="24"/>
        </w:rPr>
        <w:t>There are no prohibitions of specific products (</w:t>
      </w:r>
      <w:proofErr w:type="spellStart"/>
      <w:r w:rsidRPr="00183793">
        <w:rPr>
          <w:rFonts w:asciiTheme="majorHAnsi" w:hAnsiTheme="majorHAnsi" w:cstheme="majorHAnsi"/>
          <w:color w:val="002060"/>
          <w:sz w:val="24"/>
          <w:szCs w:val="24"/>
        </w:rPr>
        <w:t>e.g</w:t>
      </w:r>
      <w:proofErr w:type="spellEnd"/>
      <w:r w:rsidRPr="00183793">
        <w:rPr>
          <w:rFonts w:asciiTheme="majorHAnsi" w:hAnsiTheme="majorHAnsi" w:cstheme="majorHAnsi"/>
          <w:color w:val="002060"/>
          <w:sz w:val="24"/>
          <w:szCs w:val="24"/>
        </w:rPr>
        <w:t xml:space="preserve"> single-use). However, current provisions are just a proposal,</w:t>
      </w:r>
      <w:r w:rsidR="00032348">
        <w:rPr>
          <w:rFonts w:asciiTheme="majorHAnsi" w:hAnsiTheme="majorHAnsi" w:cstheme="majorHAnsi"/>
          <w:color w:val="002060"/>
          <w:sz w:val="24"/>
          <w:szCs w:val="24"/>
          <w:lang w:val="en-US"/>
        </w:rPr>
        <w:t xml:space="preserve"> </w:t>
      </w:r>
      <w:r w:rsidRPr="00183793">
        <w:rPr>
          <w:rFonts w:asciiTheme="majorHAnsi" w:hAnsiTheme="majorHAnsi" w:cstheme="majorHAnsi"/>
          <w:color w:val="002060"/>
          <w:sz w:val="24"/>
          <w:szCs w:val="24"/>
        </w:rPr>
        <w:t>negotiations with Parliament and Member States (especially the EP) may change things!</w:t>
      </w:r>
    </w:p>
    <w:p w14:paraId="26257DA7" w14:textId="76CFBF98" w:rsidR="003F3FA7" w:rsidRDefault="003F3FA7" w:rsidP="00A071C2">
      <w:pPr>
        <w:jc w:val="both"/>
      </w:pPr>
    </w:p>
    <w:p w14:paraId="1AF61DB0" w14:textId="1753BB0F" w:rsidR="003F3FA7" w:rsidRPr="00183793" w:rsidRDefault="003F3FA7" w:rsidP="00A071C2">
      <w:pPr>
        <w:pStyle w:val="Heading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183793">
        <w:rPr>
          <w:b/>
          <w:bCs/>
          <w:sz w:val="28"/>
          <w:szCs w:val="28"/>
        </w:rPr>
        <w:t>Labelling &amp; Digital Product Passport</w:t>
      </w:r>
    </w:p>
    <w:p w14:paraId="3028DA5F" w14:textId="77777777" w:rsidR="00032348" w:rsidRDefault="00032348" w:rsidP="00A071C2">
      <w:pPr>
        <w:jc w:val="both"/>
        <w:rPr>
          <w:rFonts w:asciiTheme="majorHAnsi" w:hAnsiTheme="majorHAnsi" w:cstheme="majorHAnsi"/>
          <w:color w:val="FF6600"/>
          <w:sz w:val="24"/>
          <w:szCs w:val="24"/>
        </w:rPr>
      </w:pPr>
    </w:p>
    <w:p w14:paraId="2D864999" w14:textId="15D89069" w:rsidR="003F3FA7" w:rsidRPr="00032348" w:rsidRDefault="003F3FA7" w:rsidP="00A071C2">
      <w:pPr>
        <w:jc w:val="both"/>
        <w:rPr>
          <w:rFonts w:asciiTheme="majorHAnsi" w:hAnsiTheme="majorHAnsi" w:cstheme="majorHAnsi"/>
          <w:color w:val="FF6600"/>
          <w:sz w:val="24"/>
          <w:szCs w:val="24"/>
        </w:rPr>
      </w:pPr>
      <w:r w:rsidRPr="00032348">
        <w:rPr>
          <w:rFonts w:asciiTheme="majorHAnsi" w:hAnsiTheme="majorHAnsi" w:cstheme="majorHAnsi"/>
          <w:color w:val="FF6600"/>
          <w:sz w:val="24"/>
          <w:szCs w:val="24"/>
        </w:rPr>
        <w:t>What is it?</w:t>
      </w:r>
    </w:p>
    <w:p w14:paraId="1D993853" w14:textId="75EC1F12" w:rsidR="003F3FA7" w:rsidRPr="00032348" w:rsidRDefault="003F3FA7" w:rsidP="00A071C2">
      <w:pPr>
        <w:jc w:val="both"/>
        <w:rPr>
          <w:color w:val="002060"/>
          <w:sz w:val="24"/>
          <w:szCs w:val="24"/>
        </w:rPr>
      </w:pPr>
      <w:r w:rsidRPr="00032348">
        <w:rPr>
          <w:sz w:val="24"/>
          <w:szCs w:val="24"/>
        </w:rPr>
        <w:t xml:space="preserve">• </w:t>
      </w:r>
      <w:r w:rsidRPr="00032348">
        <w:rPr>
          <w:color w:val="002060"/>
          <w:sz w:val="24"/>
          <w:szCs w:val="24"/>
        </w:rPr>
        <w:t>Delegated acts will also establish information requirements including classes of performance (best-in-class vs worst</w:t>
      </w:r>
      <w:r w:rsidR="00695156" w:rsidRPr="00032348">
        <w:rPr>
          <w:color w:val="002060"/>
          <w:sz w:val="24"/>
          <w:szCs w:val="24"/>
          <w:lang w:val="en-US"/>
        </w:rPr>
        <w:t>-</w:t>
      </w:r>
      <w:r w:rsidRPr="00032348">
        <w:rPr>
          <w:color w:val="002060"/>
          <w:sz w:val="24"/>
          <w:szCs w:val="24"/>
        </w:rPr>
        <w:t>performing</w:t>
      </w:r>
      <w:r w:rsidR="00695156" w:rsidRPr="00032348">
        <w:rPr>
          <w:color w:val="002060"/>
          <w:sz w:val="24"/>
          <w:szCs w:val="24"/>
          <w:lang w:val="en-US"/>
        </w:rPr>
        <w:t xml:space="preserve"> </w:t>
      </w:r>
      <w:r w:rsidRPr="00032348">
        <w:rPr>
          <w:color w:val="002060"/>
          <w:sz w:val="24"/>
          <w:szCs w:val="24"/>
        </w:rPr>
        <w:t>products) of a specific product group to be displayed in the form of:</w:t>
      </w:r>
    </w:p>
    <w:p w14:paraId="567EAEB9" w14:textId="698F0E44" w:rsidR="003F3FA7" w:rsidRPr="00032348" w:rsidRDefault="003F3FA7" w:rsidP="00A071C2">
      <w:pPr>
        <w:ind w:left="567"/>
        <w:jc w:val="both"/>
        <w:rPr>
          <w:color w:val="002060"/>
          <w:sz w:val="24"/>
          <w:szCs w:val="24"/>
        </w:rPr>
      </w:pPr>
      <w:r w:rsidRPr="00032348">
        <w:rPr>
          <w:color w:val="002060"/>
          <w:sz w:val="24"/>
          <w:szCs w:val="24"/>
        </w:rPr>
        <w:t>• A new sustainability label (e.g. repair score, durability index, recycled content) similar to existing energy label. If</w:t>
      </w:r>
      <w:r w:rsidR="00695156" w:rsidRPr="00032348">
        <w:rPr>
          <w:color w:val="002060"/>
          <w:sz w:val="24"/>
          <w:szCs w:val="24"/>
          <w:lang w:val="en-US"/>
        </w:rPr>
        <w:t xml:space="preserve"> </w:t>
      </w:r>
      <w:r w:rsidRPr="00032348">
        <w:rPr>
          <w:color w:val="002060"/>
          <w:sz w:val="24"/>
          <w:szCs w:val="24"/>
        </w:rPr>
        <w:t>appropriate, energy label will be expanded.</w:t>
      </w:r>
    </w:p>
    <w:p w14:paraId="5501CCA4" w14:textId="77777777" w:rsidR="003F3FA7" w:rsidRPr="00032348" w:rsidRDefault="003F3FA7" w:rsidP="00A071C2">
      <w:pPr>
        <w:ind w:left="567"/>
        <w:jc w:val="both"/>
        <w:rPr>
          <w:color w:val="002060"/>
          <w:sz w:val="24"/>
          <w:szCs w:val="24"/>
        </w:rPr>
      </w:pPr>
      <w:r w:rsidRPr="00032348">
        <w:rPr>
          <w:color w:val="002060"/>
          <w:sz w:val="24"/>
          <w:szCs w:val="24"/>
        </w:rPr>
        <w:t>• European Digital Product Passport (EU DPP) – complements labels offering digital traceability along the value chain</w:t>
      </w:r>
    </w:p>
    <w:p w14:paraId="26906955" w14:textId="77777777" w:rsidR="006C3433" w:rsidRDefault="006C3433" w:rsidP="00A071C2">
      <w:pPr>
        <w:jc w:val="both"/>
        <w:rPr>
          <w:color w:val="FF6600"/>
          <w:sz w:val="24"/>
          <w:szCs w:val="24"/>
        </w:rPr>
      </w:pPr>
    </w:p>
    <w:p w14:paraId="774CA54E" w14:textId="77777777" w:rsidR="006C3433" w:rsidRDefault="006C3433" w:rsidP="00A071C2">
      <w:pPr>
        <w:jc w:val="both"/>
        <w:rPr>
          <w:color w:val="FF6600"/>
          <w:sz w:val="24"/>
          <w:szCs w:val="24"/>
        </w:rPr>
      </w:pPr>
    </w:p>
    <w:p w14:paraId="41149CD3" w14:textId="0D259EE0" w:rsidR="003F3FA7" w:rsidRPr="00032348" w:rsidRDefault="003F3FA7" w:rsidP="00A071C2">
      <w:pPr>
        <w:jc w:val="both"/>
        <w:rPr>
          <w:color w:val="FF6600"/>
          <w:sz w:val="24"/>
          <w:szCs w:val="24"/>
        </w:rPr>
      </w:pPr>
      <w:r w:rsidRPr="00032348">
        <w:rPr>
          <w:color w:val="FF6600"/>
          <w:sz w:val="24"/>
          <w:szCs w:val="24"/>
        </w:rPr>
        <w:lastRenderedPageBreak/>
        <w:t>How will the EU DPP work in principle?</w:t>
      </w:r>
    </w:p>
    <w:p w14:paraId="477A9291" w14:textId="5455A499" w:rsidR="003F3FA7" w:rsidRPr="00032348" w:rsidRDefault="003F3FA7" w:rsidP="00A071C2">
      <w:pPr>
        <w:ind w:left="567"/>
        <w:jc w:val="both"/>
        <w:rPr>
          <w:color w:val="002060"/>
          <w:sz w:val="24"/>
          <w:szCs w:val="24"/>
        </w:rPr>
      </w:pPr>
      <w:r w:rsidRPr="00032348">
        <w:rPr>
          <w:color w:val="002060"/>
          <w:sz w:val="24"/>
          <w:szCs w:val="24"/>
        </w:rPr>
        <w:t>• The information to be included in the product passport and the access rules will be carefully examined on a case-by-case</w:t>
      </w:r>
      <w:r w:rsidR="00695156" w:rsidRPr="00032348">
        <w:rPr>
          <w:color w:val="002060"/>
          <w:sz w:val="24"/>
          <w:szCs w:val="24"/>
          <w:lang w:val="en-US"/>
        </w:rPr>
        <w:t xml:space="preserve"> </w:t>
      </w:r>
      <w:r w:rsidRPr="00032348">
        <w:rPr>
          <w:color w:val="002060"/>
          <w:sz w:val="24"/>
          <w:szCs w:val="24"/>
        </w:rPr>
        <w:t>basis (</w:t>
      </w:r>
      <w:proofErr w:type="spellStart"/>
      <w:r w:rsidRPr="00032348">
        <w:rPr>
          <w:color w:val="002060"/>
          <w:sz w:val="24"/>
          <w:szCs w:val="24"/>
        </w:rPr>
        <w:t>e.g</w:t>
      </w:r>
      <w:proofErr w:type="spellEnd"/>
      <w:r w:rsidRPr="00032348">
        <w:rPr>
          <w:color w:val="002060"/>
          <w:sz w:val="24"/>
          <w:szCs w:val="24"/>
        </w:rPr>
        <w:t xml:space="preserve"> who has access to what)</w:t>
      </w:r>
    </w:p>
    <w:p w14:paraId="4455A735" w14:textId="77777777" w:rsidR="003F3FA7" w:rsidRPr="00032348" w:rsidRDefault="003F3FA7" w:rsidP="00A071C2">
      <w:pPr>
        <w:ind w:left="567"/>
        <w:jc w:val="both"/>
        <w:rPr>
          <w:color w:val="002060"/>
          <w:sz w:val="24"/>
          <w:szCs w:val="24"/>
        </w:rPr>
      </w:pPr>
      <w:r w:rsidRPr="00032348">
        <w:rPr>
          <w:color w:val="002060"/>
          <w:sz w:val="24"/>
          <w:szCs w:val="24"/>
        </w:rPr>
        <w:t>• Data carrier likely to be a watermark or a quick response (QR) code.</w:t>
      </w:r>
    </w:p>
    <w:p w14:paraId="023BE7A0" w14:textId="0E845556" w:rsidR="003F3FA7" w:rsidRPr="00032348" w:rsidRDefault="003F3FA7" w:rsidP="00A071C2">
      <w:pPr>
        <w:ind w:left="567"/>
        <w:jc w:val="both"/>
        <w:rPr>
          <w:color w:val="002060"/>
          <w:sz w:val="24"/>
          <w:szCs w:val="24"/>
        </w:rPr>
      </w:pPr>
      <w:r w:rsidRPr="00032348">
        <w:rPr>
          <w:color w:val="002060"/>
          <w:sz w:val="24"/>
          <w:szCs w:val="24"/>
        </w:rPr>
        <w:t>• EU registry storing information included on the product passports. The aim in principle is to simplify compliance for</w:t>
      </w:r>
      <w:r w:rsidR="00695156" w:rsidRPr="00032348">
        <w:rPr>
          <w:color w:val="002060"/>
          <w:sz w:val="24"/>
          <w:szCs w:val="24"/>
          <w:lang w:val="en-US"/>
        </w:rPr>
        <w:t xml:space="preserve"> </w:t>
      </w:r>
      <w:r w:rsidRPr="00032348">
        <w:rPr>
          <w:color w:val="002060"/>
          <w:sz w:val="24"/>
          <w:szCs w:val="24"/>
        </w:rPr>
        <w:t>companies: easy bridges with recent EU databases (e.g. SCIP)</w:t>
      </w:r>
    </w:p>
    <w:p w14:paraId="05CA8B21" w14:textId="46481E05" w:rsidR="00695156" w:rsidRPr="00032348" w:rsidRDefault="00695156" w:rsidP="00A071C2">
      <w:pPr>
        <w:jc w:val="both"/>
        <w:rPr>
          <w:sz w:val="24"/>
          <w:szCs w:val="24"/>
        </w:rPr>
      </w:pPr>
    </w:p>
    <w:p w14:paraId="0CB9AF06" w14:textId="2C588AD3" w:rsidR="00695156" w:rsidRDefault="00695156" w:rsidP="00A071C2">
      <w:pPr>
        <w:pStyle w:val="Heading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183793">
        <w:rPr>
          <w:b/>
          <w:bCs/>
          <w:sz w:val="28"/>
          <w:szCs w:val="28"/>
        </w:rPr>
        <w:t>ESPR prioritisation and scope</w:t>
      </w:r>
    </w:p>
    <w:p w14:paraId="5BD27D45" w14:textId="77777777" w:rsidR="00CE0DDF" w:rsidRPr="00CE0DDF" w:rsidRDefault="00CE0DDF" w:rsidP="00A071C2">
      <w:pPr>
        <w:jc w:val="both"/>
      </w:pPr>
    </w:p>
    <w:p w14:paraId="16BED8DD" w14:textId="77777777" w:rsidR="00695156" w:rsidRPr="00A071C2" w:rsidRDefault="00695156" w:rsidP="00A071C2">
      <w:pPr>
        <w:jc w:val="both"/>
        <w:rPr>
          <w:color w:val="FF6600"/>
          <w:sz w:val="24"/>
          <w:szCs w:val="24"/>
        </w:rPr>
      </w:pPr>
      <w:r w:rsidRPr="00A071C2">
        <w:rPr>
          <w:color w:val="FF6600"/>
          <w:sz w:val="24"/>
          <w:szCs w:val="24"/>
        </w:rPr>
        <w:t>What scope is the Commission proposing?</w:t>
      </w:r>
    </w:p>
    <w:p w14:paraId="329242DE" w14:textId="77777777" w:rsidR="00695156" w:rsidRPr="00A071C2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A071C2">
        <w:rPr>
          <w:color w:val="002060"/>
          <w:sz w:val="24"/>
          <w:szCs w:val="24"/>
        </w:rPr>
        <w:t>• All product groups are potentially within scope - except food, feed and medicines</w:t>
      </w:r>
    </w:p>
    <w:p w14:paraId="4154600A" w14:textId="1D95152A" w:rsidR="00695156" w:rsidRPr="00A071C2" w:rsidRDefault="00695156" w:rsidP="00A071C2">
      <w:pPr>
        <w:ind w:left="426"/>
        <w:jc w:val="both"/>
        <w:rPr>
          <w:b/>
          <w:bCs/>
          <w:color w:val="002060"/>
          <w:sz w:val="24"/>
          <w:szCs w:val="24"/>
        </w:rPr>
      </w:pPr>
      <w:r w:rsidRPr="00A071C2">
        <w:rPr>
          <w:color w:val="002060"/>
          <w:sz w:val="24"/>
          <w:szCs w:val="24"/>
        </w:rPr>
        <w:t xml:space="preserve">• A preliminary assessment by the Commission has identified first ESPR targets: </w:t>
      </w:r>
      <w:r w:rsidRPr="00A071C2">
        <w:rPr>
          <w:b/>
          <w:bCs/>
          <w:color w:val="002060"/>
          <w:sz w:val="24"/>
          <w:szCs w:val="24"/>
        </w:rPr>
        <w:t>consumer electronics, textiles, furniture, mattresses, tyres, detergents, paints, lubricants, as well as intermediate products like iron, steel and aluminium.</w:t>
      </w:r>
    </w:p>
    <w:p w14:paraId="458295F3" w14:textId="427EF7CA" w:rsidR="00695156" w:rsidRPr="00CE0DDF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A071C2">
        <w:rPr>
          <w:color w:val="002060"/>
          <w:sz w:val="24"/>
          <w:szCs w:val="24"/>
        </w:rPr>
        <w:t>• Public consultation on the categories of products to be selected for first ESPR targets expected by the end of 2022 (to be ready by 2024)</w:t>
      </w:r>
    </w:p>
    <w:p w14:paraId="4321BBC6" w14:textId="77777777" w:rsidR="00CE0DDF" w:rsidRDefault="00CE0DDF" w:rsidP="00A071C2">
      <w:pPr>
        <w:jc w:val="both"/>
        <w:rPr>
          <w:color w:val="FF6600"/>
          <w:sz w:val="24"/>
          <w:szCs w:val="24"/>
        </w:rPr>
      </w:pPr>
    </w:p>
    <w:p w14:paraId="3DBF6724" w14:textId="5DA94DFD" w:rsidR="00695156" w:rsidRPr="00CE0DDF" w:rsidRDefault="00695156" w:rsidP="00A071C2">
      <w:pPr>
        <w:jc w:val="both"/>
        <w:rPr>
          <w:color w:val="FF6600"/>
          <w:sz w:val="24"/>
          <w:szCs w:val="24"/>
        </w:rPr>
      </w:pPr>
      <w:r w:rsidRPr="00CE0DDF">
        <w:rPr>
          <w:color w:val="FF6600"/>
          <w:sz w:val="24"/>
          <w:szCs w:val="24"/>
        </w:rPr>
        <w:t>How products will be prioritized?</w:t>
      </w:r>
    </w:p>
    <w:p w14:paraId="72E49E13" w14:textId="77777777" w:rsidR="00695156" w:rsidRPr="00CE0DDF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CE0DDF">
        <w:rPr>
          <w:color w:val="002060"/>
          <w:sz w:val="24"/>
          <w:szCs w:val="24"/>
        </w:rPr>
        <w:t>• Potential contribution to EU objectives</w:t>
      </w:r>
    </w:p>
    <w:p w14:paraId="4791427A" w14:textId="77777777" w:rsidR="00695156" w:rsidRPr="00CE0DDF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CE0DDF">
        <w:rPr>
          <w:color w:val="002060"/>
          <w:sz w:val="24"/>
          <w:szCs w:val="24"/>
        </w:rPr>
        <w:t>• Potential improvement of products aspects</w:t>
      </w:r>
    </w:p>
    <w:p w14:paraId="2AB01AAA" w14:textId="77777777" w:rsidR="00695156" w:rsidRPr="00CE0DDF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CE0DDF">
        <w:rPr>
          <w:color w:val="002060"/>
          <w:sz w:val="24"/>
          <w:szCs w:val="24"/>
        </w:rPr>
        <w:t>• Volume of sales and trade</w:t>
      </w:r>
    </w:p>
    <w:p w14:paraId="40FBA527" w14:textId="77777777" w:rsidR="00695156" w:rsidRPr="00CE0DDF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CE0DDF">
        <w:rPr>
          <w:color w:val="002060"/>
          <w:sz w:val="24"/>
          <w:szCs w:val="24"/>
        </w:rPr>
        <w:t>• Distribution of environmental impacts, energy and waste generation</w:t>
      </w:r>
    </w:p>
    <w:p w14:paraId="1928D670" w14:textId="7B59A14E" w:rsidR="00695156" w:rsidRPr="00CE0DDF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CE0DDF">
        <w:rPr>
          <w:color w:val="002060"/>
          <w:sz w:val="24"/>
          <w:szCs w:val="24"/>
        </w:rPr>
        <w:t>• Need to regularly review and adapt provisions in light of technological and market developments</w:t>
      </w:r>
    </w:p>
    <w:p w14:paraId="388E1E41" w14:textId="3F2B7343" w:rsidR="00695156" w:rsidRDefault="00695156" w:rsidP="00A071C2">
      <w:pPr>
        <w:jc w:val="both"/>
      </w:pPr>
    </w:p>
    <w:p w14:paraId="00F1AE68" w14:textId="706CE199" w:rsidR="00695156" w:rsidRPr="00183793" w:rsidRDefault="00695156" w:rsidP="00A071C2">
      <w:pPr>
        <w:pStyle w:val="Heading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183793">
        <w:rPr>
          <w:b/>
          <w:bCs/>
          <w:sz w:val="28"/>
          <w:szCs w:val="28"/>
        </w:rPr>
        <w:t>Defining circularity requirements</w:t>
      </w:r>
    </w:p>
    <w:p w14:paraId="0280FD0E" w14:textId="77777777" w:rsidR="00AE3800" w:rsidRDefault="00AE3800" w:rsidP="00A071C2">
      <w:pPr>
        <w:jc w:val="both"/>
        <w:rPr>
          <w:color w:val="FF6600"/>
        </w:rPr>
      </w:pPr>
    </w:p>
    <w:p w14:paraId="4050D4D7" w14:textId="78021232" w:rsidR="00AE3800" w:rsidRDefault="00695156" w:rsidP="00A071C2">
      <w:pPr>
        <w:jc w:val="both"/>
      </w:pPr>
      <w:r w:rsidRPr="00AE3800">
        <w:rPr>
          <w:color w:val="FF6600"/>
        </w:rPr>
        <w:t xml:space="preserve">What is it? </w:t>
      </w:r>
    </w:p>
    <w:p w14:paraId="17D9FCAD" w14:textId="2B78E63E" w:rsidR="00695156" w:rsidRPr="00AE3800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AE3800">
        <w:rPr>
          <w:color w:val="002060"/>
          <w:sz w:val="24"/>
          <w:szCs w:val="24"/>
        </w:rPr>
        <w:t>Each delegated act will make use of methods, rules and standards to assess the priority products in order to decide on</w:t>
      </w:r>
      <w:r w:rsidR="00AE3800">
        <w:rPr>
          <w:color w:val="002060"/>
          <w:sz w:val="24"/>
          <w:szCs w:val="24"/>
          <w:lang w:val="en-US"/>
        </w:rPr>
        <w:t xml:space="preserve"> </w:t>
      </w:r>
      <w:r w:rsidRPr="00AE3800">
        <w:rPr>
          <w:color w:val="002060"/>
          <w:sz w:val="24"/>
          <w:szCs w:val="24"/>
        </w:rPr>
        <w:t>specific eco-design requirements</w:t>
      </w:r>
    </w:p>
    <w:p w14:paraId="20BF44FA" w14:textId="77777777" w:rsidR="00695156" w:rsidRPr="00AE3800" w:rsidRDefault="00695156" w:rsidP="00A071C2">
      <w:pPr>
        <w:jc w:val="both"/>
        <w:rPr>
          <w:color w:val="FF6600"/>
        </w:rPr>
      </w:pPr>
      <w:r w:rsidRPr="00AE3800">
        <w:rPr>
          <w:color w:val="FF6600"/>
        </w:rPr>
        <w:lastRenderedPageBreak/>
        <w:t>How will it work?</w:t>
      </w:r>
    </w:p>
    <w:p w14:paraId="64C5F346" w14:textId="77777777" w:rsidR="00695156" w:rsidRPr="00AE3800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AE3800">
        <w:rPr>
          <w:color w:val="002060"/>
          <w:sz w:val="24"/>
          <w:szCs w:val="24"/>
        </w:rPr>
        <w:t>1. The LCA with the PEF method</w:t>
      </w:r>
    </w:p>
    <w:p w14:paraId="1912B713" w14:textId="77777777" w:rsidR="00695156" w:rsidRPr="00AE3800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AE3800">
        <w:rPr>
          <w:color w:val="002060"/>
          <w:sz w:val="24"/>
          <w:szCs w:val="24"/>
        </w:rPr>
        <w:t>2. Complementary assessments on environmental and circularity aspects not covered by PEF, on social aspects;</w:t>
      </w:r>
    </w:p>
    <w:p w14:paraId="7ED60D2C" w14:textId="77777777" w:rsidR="00FC5BF5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AE3800">
        <w:rPr>
          <w:color w:val="002060"/>
          <w:sz w:val="24"/>
          <w:szCs w:val="24"/>
        </w:rPr>
        <w:t>3. The economic assessment including with a Life Cycle Cost method</w:t>
      </w:r>
    </w:p>
    <w:p w14:paraId="47D1ABDC" w14:textId="790CE5BA" w:rsidR="00695156" w:rsidRPr="00FC5BF5" w:rsidRDefault="00695156" w:rsidP="00A071C2">
      <w:pPr>
        <w:jc w:val="both"/>
        <w:rPr>
          <w:color w:val="FF6600"/>
          <w:sz w:val="24"/>
          <w:szCs w:val="24"/>
        </w:rPr>
      </w:pPr>
      <w:r w:rsidRPr="00FC5BF5">
        <w:rPr>
          <w:color w:val="FF6600"/>
          <w:sz w:val="24"/>
          <w:szCs w:val="24"/>
        </w:rPr>
        <w:t>Some limitations</w:t>
      </w:r>
    </w:p>
    <w:p w14:paraId="0B4BBF2C" w14:textId="44D36921" w:rsidR="00695156" w:rsidRPr="00AE3800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AE3800">
        <w:rPr>
          <w:color w:val="002060"/>
          <w:sz w:val="24"/>
          <w:szCs w:val="24"/>
        </w:rPr>
        <w:t xml:space="preserve">• Energy efficiency and other parameters already covered by current methodologies (Methodology for </w:t>
      </w:r>
      <w:proofErr w:type="spellStart"/>
      <w:r w:rsidRPr="00AE3800">
        <w:rPr>
          <w:color w:val="002060"/>
          <w:sz w:val="24"/>
          <w:szCs w:val="24"/>
        </w:rPr>
        <w:t>Ecodesign</w:t>
      </w:r>
      <w:proofErr w:type="spellEnd"/>
      <w:r w:rsidRPr="00AE3800">
        <w:rPr>
          <w:color w:val="002060"/>
          <w:sz w:val="24"/>
          <w:szCs w:val="24"/>
        </w:rPr>
        <w:t xml:space="preserve"> for Energy</w:t>
      </w:r>
      <w:r w:rsidR="00091E3C">
        <w:rPr>
          <w:color w:val="002060"/>
          <w:sz w:val="24"/>
          <w:szCs w:val="24"/>
          <w:lang w:val="en-US"/>
        </w:rPr>
        <w:t xml:space="preserve"> </w:t>
      </w:r>
      <w:r w:rsidRPr="00AE3800">
        <w:rPr>
          <w:color w:val="002060"/>
          <w:sz w:val="24"/>
          <w:szCs w:val="24"/>
        </w:rPr>
        <w:t>related</w:t>
      </w:r>
      <w:r w:rsidR="00AE3800">
        <w:rPr>
          <w:color w:val="002060"/>
          <w:sz w:val="24"/>
          <w:szCs w:val="24"/>
          <w:lang w:val="en-US"/>
        </w:rPr>
        <w:t xml:space="preserve"> </w:t>
      </w:r>
      <w:r w:rsidRPr="00AE3800">
        <w:rPr>
          <w:color w:val="002060"/>
          <w:sz w:val="24"/>
          <w:szCs w:val="24"/>
        </w:rPr>
        <w:t>Products (</w:t>
      </w:r>
      <w:proofErr w:type="spellStart"/>
      <w:r w:rsidRPr="00AE3800">
        <w:rPr>
          <w:color w:val="002060"/>
          <w:sz w:val="24"/>
          <w:szCs w:val="24"/>
        </w:rPr>
        <w:t>MEErP</w:t>
      </w:r>
      <w:proofErr w:type="spellEnd"/>
      <w:r w:rsidRPr="00AE3800">
        <w:rPr>
          <w:color w:val="002060"/>
          <w:sz w:val="24"/>
          <w:szCs w:val="24"/>
        </w:rPr>
        <w:t>)</w:t>
      </w:r>
    </w:p>
    <w:p w14:paraId="0CBD4A5E" w14:textId="77777777" w:rsidR="00091E3C" w:rsidRDefault="00695156" w:rsidP="00A071C2">
      <w:pPr>
        <w:ind w:left="426"/>
        <w:jc w:val="both"/>
        <w:rPr>
          <w:color w:val="002060"/>
          <w:sz w:val="24"/>
          <w:szCs w:val="24"/>
        </w:rPr>
      </w:pPr>
      <w:r w:rsidRPr="00AE3800">
        <w:rPr>
          <w:color w:val="002060"/>
          <w:sz w:val="24"/>
          <w:szCs w:val="24"/>
        </w:rPr>
        <w:t>• For circularity aspects, there are general standards for reusability, upgradability, recyclability, but they will need to be</w:t>
      </w:r>
      <w:r w:rsidR="00AE3800">
        <w:rPr>
          <w:color w:val="002060"/>
          <w:sz w:val="24"/>
          <w:szCs w:val="24"/>
          <w:lang w:val="en-US"/>
        </w:rPr>
        <w:t xml:space="preserve"> </w:t>
      </w:r>
      <w:r w:rsidRPr="00AE3800">
        <w:rPr>
          <w:color w:val="002060"/>
          <w:sz w:val="24"/>
          <w:szCs w:val="24"/>
        </w:rPr>
        <w:t xml:space="preserve">reinforced/developed further on a product-by-product basis. </w:t>
      </w:r>
    </w:p>
    <w:p w14:paraId="66A30C04" w14:textId="77777777" w:rsidR="00091E3C" w:rsidRPr="00091E3C" w:rsidRDefault="00695156" w:rsidP="00A071C2">
      <w:pPr>
        <w:jc w:val="both"/>
        <w:rPr>
          <w:color w:val="FF6600"/>
          <w:sz w:val="24"/>
          <w:szCs w:val="24"/>
        </w:rPr>
      </w:pPr>
      <w:r w:rsidRPr="00091E3C">
        <w:rPr>
          <w:color w:val="FF6600"/>
          <w:sz w:val="24"/>
          <w:szCs w:val="24"/>
        </w:rPr>
        <w:t xml:space="preserve">How? </w:t>
      </w:r>
    </w:p>
    <w:p w14:paraId="1C17B042" w14:textId="54DABD75" w:rsidR="00695156" w:rsidRPr="00AE3800" w:rsidRDefault="00695156" w:rsidP="00A071C2">
      <w:pPr>
        <w:jc w:val="both"/>
        <w:rPr>
          <w:color w:val="002060"/>
          <w:sz w:val="24"/>
          <w:szCs w:val="24"/>
        </w:rPr>
      </w:pPr>
      <w:r w:rsidRPr="00AE3800">
        <w:rPr>
          <w:color w:val="002060"/>
          <w:sz w:val="24"/>
          <w:szCs w:val="24"/>
        </w:rPr>
        <w:t xml:space="preserve">Possibly through the support from EU’s </w:t>
      </w:r>
      <w:bookmarkStart w:id="0" w:name="_Hlk105002329"/>
      <w:r w:rsidRPr="00AE3800">
        <w:rPr>
          <w:color w:val="002060"/>
          <w:sz w:val="24"/>
          <w:szCs w:val="24"/>
        </w:rPr>
        <w:t>Joint Research</w:t>
      </w:r>
      <w:r w:rsidR="00AE3800">
        <w:rPr>
          <w:color w:val="002060"/>
          <w:sz w:val="24"/>
          <w:szCs w:val="24"/>
          <w:lang w:val="en-US"/>
        </w:rPr>
        <w:t xml:space="preserve"> </w:t>
      </w:r>
      <w:r w:rsidRPr="00AE3800">
        <w:rPr>
          <w:color w:val="002060"/>
          <w:sz w:val="24"/>
          <w:szCs w:val="24"/>
        </w:rPr>
        <w:t xml:space="preserve">Centre (JRC) </w:t>
      </w:r>
      <w:bookmarkEnd w:id="0"/>
      <w:r w:rsidRPr="00AE3800">
        <w:rPr>
          <w:color w:val="002060"/>
          <w:sz w:val="24"/>
          <w:szCs w:val="24"/>
        </w:rPr>
        <w:t>and in close consultation with stakeholders</w:t>
      </w:r>
    </w:p>
    <w:p w14:paraId="3516F5BB" w14:textId="4CDDC92B" w:rsidR="00695156" w:rsidRDefault="00695156" w:rsidP="00A071C2">
      <w:pPr>
        <w:jc w:val="both"/>
      </w:pPr>
    </w:p>
    <w:p w14:paraId="737B6656" w14:textId="21F0401E" w:rsidR="00695156" w:rsidRPr="00183793" w:rsidRDefault="00695156" w:rsidP="00A071C2">
      <w:pPr>
        <w:pStyle w:val="Heading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183793">
        <w:rPr>
          <w:b/>
          <w:bCs/>
          <w:sz w:val="28"/>
          <w:szCs w:val="28"/>
        </w:rPr>
        <w:t>The role and target on Substances of Concern (SoC)</w:t>
      </w:r>
    </w:p>
    <w:p w14:paraId="646087F9" w14:textId="77777777" w:rsidR="00FC5BF5" w:rsidRDefault="00FC5BF5" w:rsidP="00A071C2">
      <w:pPr>
        <w:jc w:val="both"/>
        <w:rPr>
          <w:color w:val="FF6600"/>
        </w:rPr>
      </w:pPr>
    </w:p>
    <w:p w14:paraId="2FD6DC49" w14:textId="1B1DE17F" w:rsidR="00FC5BF5" w:rsidRPr="00FC5BF5" w:rsidRDefault="00695156" w:rsidP="00A071C2">
      <w:pPr>
        <w:jc w:val="both"/>
        <w:rPr>
          <w:color w:val="FF6600"/>
        </w:rPr>
      </w:pPr>
      <w:r w:rsidRPr="00FC5BF5">
        <w:rPr>
          <w:color w:val="FF6600"/>
        </w:rPr>
        <w:t xml:space="preserve">What is it? </w:t>
      </w:r>
    </w:p>
    <w:p w14:paraId="27E9550F" w14:textId="43BDCF1F" w:rsidR="00695156" w:rsidRPr="00FC5BF5" w:rsidRDefault="00695156" w:rsidP="00A071C2">
      <w:pPr>
        <w:jc w:val="both"/>
        <w:rPr>
          <w:color w:val="002060"/>
        </w:rPr>
      </w:pPr>
      <w:r w:rsidRPr="00FC5BF5">
        <w:rPr>
          <w:color w:val="002060"/>
        </w:rPr>
        <w:t>The ESPR proposal intends to enshrine for the first time the term “Substances of Concern” in EU legislation with</w:t>
      </w:r>
      <w:r w:rsidR="00FC5BF5">
        <w:rPr>
          <w:color w:val="002060"/>
          <w:lang w:val="en-US"/>
        </w:rPr>
        <w:t xml:space="preserve"> </w:t>
      </w:r>
      <w:r w:rsidRPr="00FC5BF5">
        <w:rPr>
          <w:color w:val="002060"/>
        </w:rPr>
        <w:t>the aim of tracking them and potentially restricting those substances that hinder circularity</w:t>
      </w:r>
    </w:p>
    <w:p w14:paraId="3D70EAEE" w14:textId="77777777" w:rsidR="00695156" w:rsidRPr="00FC5BF5" w:rsidRDefault="00695156" w:rsidP="00A071C2">
      <w:pPr>
        <w:jc w:val="both"/>
        <w:rPr>
          <w:color w:val="FF6600"/>
        </w:rPr>
      </w:pPr>
      <w:r w:rsidRPr="00FC5BF5">
        <w:rPr>
          <w:color w:val="FF6600"/>
        </w:rPr>
        <w:t>Definition for SoC</w:t>
      </w:r>
    </w:p>
    <w:p w14:paraId="2FF17511" w14:textId="77777777" w:rsidR="00695156" w:rsidRPr="00FC5BF5" w:rsidRDefault="00695156" w:rsidP="00A071C2">
      <w:pPr>
        <w:ind w:left="426"/>
        <w:jc w:val="both"/>
        <w:rPr>
          <w:color w:val="002060"/>
        </w:rPr>
      </w:pPr>
      <w:r w:rsidRPr="00FC5BF5">
        <w:rPr>
          <w:color w:val="002060"/>
        </w:rPr>
        <w:t>• Defined as a Substance of Very High Concern according to REACH Regulation;</w:t>
      </w:r>
    </w:p>
    <w:p w14:paraId="6BCDB57A" w14:textId="4C42DF91" w:rsidR="00695156" w:rsidRPr="00FC5BF5" w:rsidRDefault="00695156" w:rsidP="00A071C2">
      <w:pPr>
        <w:ind w:left="426"/>
        <w:jc w:val="both"/>
        <w:rPr>
          <w:color w:val="002060"/>
        </w:rPr>
      </w:pPr>
      <w:r w:rsidRPr="00FC5BF5">
        <w:rPr>
          <w:color w:val="002060"/>
        </w:rPr>
        <w:t>• Classified in Part 3 of Annex VI to CLP Regulation in defined hazard classes or hazard categories (e.g. carcinogenicity</w:t>
      </w:r>
      <w:r w:rsidR="00FC5BF5">
        <w:rPr>
          <w:color w:val="002060"/>
          <w:lang w:val="en-US"/>
        </w:rPr>
        <w:t xml:space="preserve"> </w:t>
      </w:r>
      <w:r w:rsidRPr="00FC5BF5">
        <w:rPr>
          <w:color w:val="002060"/>
        </w:rPr>
        <w:t>categories, reproductive toxicity, respiratory sensitization, etc.)</w:t>
      </w:r>
    </w:p>
    <w:p w14:paraId="4DB7F478" w14:textId="77777777" w:rsidR="00695156" w:rsidRPr="00FC5BF5" w:rsidRDefault="00695156" w:rsidP="00A071C2">
      <w:pPr>
        <w:ind w:left="426"/>
        <w:jc w:val="both"/>
        <w:rPr>
          <w:color w:val="002060"/>
        </w:rPr>
      </w:pPr>
      <w:r w:rsidRPr="00FC5BF5">
        <w:rPr>
          <w:color w:val="002060"/>
        </w:rPr>
        <w:t>• Negatively affects the re-use and recycling of materials in the product in which it is present (not defined anywhere)</w:t>
      </w:r>
    </w:p>
    <w:p w14:paraId="252A6FD8" w14:textId="77777777" w:rsidR="00695156" w:rsidRPr="00FC5BF5" w:rsidRDefault="00695156" w:rsidP="00A071C2">
      <w:pPr>
        <w:jc w:val="both"/>
        <w:rPr>
          <w:color w:val="FF6600"/>
        </w:rPr>
      </w:pPr>
      <w:r w:rsidRPr="00FC5BF5">
        <w:rPr>
          <w:color w:val="FF6600"/>
        </w:rPr>
        <w:t>Potential measures</w:t>
      </w:r>
    </w:p>
    <w:p w14:paraId="6811798C" w14:textId="77777777" w:rsidR="00695156" w:rsidRPr="00FC5BF5" w:rsidRDefault="00695156" w:rsidP="00A071C2">
      <w:pPr>
        <w:ind w:left="426"/>
        <w:jc w:val="both"/>
        <w:rPr>
          <w:color w:val="002060"/>
        </w:rPr>
      </w:pPr>
      <w:r w:rsidRPr="00FC5BF5">
        <w:rPr>
          <w:color w:val="002060"/>
        </w:rPr>
        <w:t xml:space="preserve">• </w:t>
      </w:r>
      <w:bookmarkStart w:id="1" w:name="_Hlk105002578"/>
      <w:r w:rsidRPr="00FC5BF5">
        <w:rPr>
          <w:color w:val="002060"/>
        </w:rPr>
        <w:t>Information &amp; tracing</w:t>
      </w:r>
      <w:bookmarkEnd w:id="1"/>
      <w:r w:rsidRPr="00FC5BF5">
        <w:rPr>
          <w:color w:val="002060"/>
        </w:rPr>
        <w:t>: Obligation for manufacturers to ensure SoC traceability</w:t>
      </w:r>
    </w:p>
    <w:p w14:paraId="18D88CE7" w14:textId="30F91903" w:rsidR="00695156" w:rsidRPr="00FC5BF5" w:rsidRDefault="00695156" w:rsidP="00A071C2">
      <w:pPr>
        <w:ind w:left="426"/>
        <w:jc w:val="both"/>
        <w:rPr>
          <w:color w:val="002060"/>
        </w:rPr>
      </w:pPr>
      <w:r w:rsidRPr="00FC5BF5">
        <w:rPr>
          <w:color w:val="002060"/>
        </w:rPr>
        <w:t>• Restrictions: Restriction of the use of certain substances in specific products (bans or concentration limits) if they hinder</w:t>
      </w:r>
      <w:r w:rsidR="00FC5BF5">
        <w:rPr>
          <w:color w:val="002060"/>
          <w:lang w:val="en-US"/>
        </w:rPr>
        <w:t xml:space="preserve"> </w:t>
      </w:r>
      <w:r w:rsidRPr="00FC5BF5">
        <w:rPr>
          <w:color w:val="002060"/>
        </w:rPr>
        <w:t>circularity (e.g. recyclability, high-quality recycling, upgradability, durability, reparability).</w:t>
      </w:r>
    </w:p>
    <w:p w14:paraId="7C2C7C34" w14:textId="51A5CC87" w:rsidR="00695156" w:rsidRPr="00FC5BF5" w:rsidRDefault="00695156" w:rsidP="00A071C2">
      <w:pPr>
        <w:jc w:val="both"/>
        <w:rPr>
          <w:color w:val="002060"/>
        </w:rPr>
      </w:pPr>
    </w:p>
    <w:p w14:paraId="60A437C6" w14:textId="57FC3620" w:rsidR="00695156" w:rsidRPr="00183793" w:rsidRDefault="00695156" w:rsidP="00A071C2">
      <w:pPr>
        <w:pStyle w:val="Heading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183793">
        <w:rPr>
          <w:b/>
          <w:bCs/>
          <w:sz w:val="28"/>
          <w:szCs w:val="28"/>
        </w:rPr>
        <w:t>Policy coherence with product-specific and horizontal legislation</w:t>
      </w:r>
    </w:p>
    <w:p w14:paraId="3E431686" w14:textId="77777777" w:rsidR="00FC5BF5" w:rsidRDefault="00FC5BF5" w:rsidP="00A071C2">
      <w:pPr>
        <w:jc w:val="both"/>
      </w:pPr>
    </w:p>
    <w:p w14:paraId="2CCE6211" w14:textId="77777777" w:rsidR="00FC5BF5" w:rsidRPr="00FC5BF5" w:rsidRDefault="00695156" w:rsidP="00A071C2">
      <w:pPr>
        <w:jc w:val="both"/>
        <w:rPr>
          <w:color w:val="FF6600"/>
        </w:rPr>
      </w:pPr>
      <w:r w:rsidRPr="00FC5BF5">
        <w:rPr>
          <w:color w:val="FF6600"/>
        </w:rPr>
        <w:t xml:space="preserve">Overlaps or synergies? </w:t>
      </w:r>
    </w:p>
    <w:p w14:paraId="035B47CE" w14:textId="2EC3E900" w:rsidR="00695156" w:rsidRPr="00901471" w:rsidRDefault="00695156" w:rsidP="00A071C2">
      <w:pPr>
        <w:jc w:val="both"/>
        <w:rPr>
          <w:color w:val="002060"/>
        </w:rPr>
      </w:pPr>
      <w:r w:rsidRPr="00901471">
        <w:rPr>
          <w:color w:val="002060"/>
        </w:rPr>
        <w:t>The ESPR proposal aims to be coherent with other EU Green Deal initiatives:</w:t>
      </w:r>
    </w:p>
    <w:p w14:paraId="6F86850D" w14:textId="11762427" w:rsidR="00695156" w:rsidRPr="00901471" w:rsidRDefault="00695156" w:rsidP="00A071C2">
      <w:pPr>
        <w:ind w:left="567"/>
        <w:jc w:val="both"/>
        <w:rPr>
          <w:color w:val="002060"/>
        </w:rPr>
      </w:pPr>
      <w:r w:rsidRPr="00901471">
        <w:rPr>
          <w:color w:val="002060"/>
        </w:rPr>
        <w:t>• Creating new EU product-specific rules covering products whose sustainability aspects are currently unaddressed (e.g.</w:t>
      </w:r>
      <w:r w:rsidR="00FC5BF5" w:rsidRPr="00901471">
        <w:rPr>
          <w:color w:val="002060"/>
          <w:lang w:val="en-US"/>
        </w:rPr>
        <w:t xml:space="preserve"> </w:t>
      </w:r>
      <w:r w:rsidRPr="00901471">
        <w:rPr>
          <w:color w:val="002060"/>
        </w:rPr>
        <w:t>textiles, furniture)</w:t>
      </w:r>
    </w:p>
    <w:p w14:paraId="43A7496D" w14:textId="3E469D2F" w:rsidR="00695156" w:rsidRPr="00901471" w:rsidRDefault="00695156" w:rsidP="00A071C2">
      <w:pPr>
        <w:ind w:left="567"/>
        <w:jc w:val="both"/>
        <w:rPr>
          <w:color w:val="002060"/>
        </w:rPr>
      </w:pPr>
      <w:r w:rsidRPr="00901471">
        <w:rPr>
          <w:color w:val="002060"/>
        </w:rPr>
        <w:t>• Complementing existing product-specific EU rules, by taking targeted and a tailored action to specific product/product</w:t>
      </w:r>
      <w:r w:rsidR="00B26293">
        <w:rPr>
          <w:color w:val="002060"/>
          <w:lang w:val="en-US"/>
        </w:rPr>
        <w:t xml:space="preserve"> </w:t>
      </w:r>
      <w:r w:rsidRPr="00901471">
        <w:rPr>
          <w:color w:val="002060"/>
        </w:rPr>
        <w:t>value chain covered by general rules (Empowering Consumers, PPWD, SCGI, CPR)</w:t>
      </w:r>
    </w:p>
    <w:p w14:paraId="6287007C" w14:textId="3D5487DC" w:rsidR="00695156" w:rsidRPr="00901471" w:rsidRDefault="00695156" w:rsidP="00A071C2">
      <w:pPr>
        <w:ind w:left="567"/>
        <w:jc w:val="both"/>
        <w:rPr>
          <w:color w:val="002060"/>
        </w:rPr>
      </w:pPr>
      <w:r w:rsidRPr="00901471">
        <w:rPr>
          <w:color w:val="002060"/>
        </w:rPr>
        <w:t>• New EU rules under the current Eco-design Directive including more circularity aspects for energy-related products in the</w:t>
      </w:r>
      <w:r w:rsidR="00FC5BF5" w:rsidRPr="00901471">
        <w:rPr>
          <w:color w:val="002060"/>
          <w:lang w:val="en-US"/>
        </w:rPr>
        <w:t xml:space="preserve"> </w:t>
      </w:r>
      <w:r w:rsidRPr="00901471">
        <w:rPr>
          <w:color w:val="002060"/>
        </w:rPr>
        <w:t>new Eco-Design Working Plan 2022-2024 (e.g. consumer electronics)</w:t>
      </w:r>
    </w:p>
    <w:p w14:paraId="702A758D" w14:textId="77777777" w:rsidR="00695156" w:rsidRPr="00FC5BF5" w:rsidRDefault="00695156" w:rsidP="00A071C2">
      <w:pPr>
        <w:jc w:val="both"/>
        <w:rPr>
          <w:color w:val="FF6600"/>
        </w:rPr>
      </w:pPr>
      <w:r w:rsidRPr="00FC5BF5">
        <w:rPr>
          <w:color w:val="FF6600"/>
        </w:rPr>
        <w:t>How to make sense of it?</w:t>
      </w:r>
    </w:p>
    <w:p w14:paraId="3BDB0473" w14:textId="13F50F49" w:rsidR="00695156" w:rsidRPr="00901471" w:rsidRDefault="00695156" w:rsidP="00A071C2">
      <w:pPr>
        <w:ind w:left="567"/>
        <w:jc w:val="both"/>
        <w:rPr>
          <w:color w:val="002060"/>
        </w:rPr>
      </w:pPr>
      <w:r w:rsidRPr="00901471">
        <w:rPr>
          <w:color w:val="002060"/>
        </w:rPr>
        <w:t>• The EU Commission published a Communication setting the framework in policy terms and explaining possible links with</w:t>
      </w:r>
      <w:r w:rsidR="00FC5BF5" w:rsidRPr="00901471">
        <w:rPr>
          <w:color w:val="002060"/>
          <w:lang w:val="en-US"/>
        </w:rPr>
        <w:t xml:space="preserve"> </w:t>
      </w:r>
      <w:r w:rsidRPr="00901471">
        <w:rPr>
          <w:color w:val="002060"/>
        </w:rPr>
        <w:t>other initiatives.</w:t>
      </w:r>
    </w:p>
    <w:p w14:paraId="799F1AFA" w14:textId="19D5D9C5" w:rsidR="00265264" w:rsidRDefault="00695156" w:rsidP="00A071C2">
      <w:pPr>
        <w:ind w:left="567"/>
        <w:jc w:val="both"/>
        <w:rPr>
          <w:color w:val="002060"/>
        </w:rPr>
      </w:pPr>
      <w:r w:rsidRPr="00901471">
        <w:rPr>
          <w:color w:val="002060"/>
        </w:rPr>
        <w:t>• The Impact Assessment of the ESPR also provides clarity on how the ESPR interacts with existing and upcoming initiatives</w:t>
      </w:r>
      <w:r w:rsidR="00FC5BF5" w:rsidRPr="00901471">
        <w:rPr>
          <w:color w:val="002060"/>
          <w:lang w:val="en-US"/>
        </w:rPr>
        <w:t xml:space="preserve"> </w:t>
      </w:r>
      <w:r w:rsidRPr="00901471">
        <w:rPr>
          <w:color w:val="002060"/>
        </w:rPr>
        <w:t>(REACH, CPR, WFD, RoHS)</w:t>
      </w:r>
    </w:p>
    <w:p w14:paraId="3C1024D2" w14:textId="3E77141B" w:rsidR="00265264" w:rsidRDefault="00322105" w:rsidP="00A071C2">
      <w:pPr>
        <w:ind w:left="567"/>
        <w:jc w:val="both"/>
        <w:rPr>
          <w:color w:val="002060"/>
        </w:rPr>
      </w:pPr>
      <w:r>
        <w:rPr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139C73BA" wp14:editId="0C12BA05">
            <wp:simplePos x="0" y="0"/>
            <wp:positionH relativeFrom="column">
              <wp:posOffset>-335915</wp:posOffset>
            </wp:positionH>
            <wp:positionV relativeFrom="paragraph">
              <wp:posOffset>287655</wp:posOffset>
            </wp:positionV>
            <wp:extent cx="6420485" cy="8667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4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07145" w14:textId="4B5CB420" w:rsidR="00265264" w:rsidRDefault="00265264" w:rsidP="00A071C2">
      <w:pPr>
        <w:ind w:left="567"/>
        <w:jc w:val="both"/>
        <w:rPr>
          <w:color w:val="002060"/>
        </w:rPr>
      </w:pPr>
    </w:p>
    <w:p w14:paraId="4CF5F2DA" w14:textId="12727CC0" w:rsidR="00265264" w:rsidRDefault="00265264" w:rsidP="00A071C2">
      <w:pPr>
        <w:ind w:left="567"/>
        <w:jc w:val="both"/>
        <w:rPr>
          <w:color w:val="002060"/>
        </w:rPr>
      </w:pPr>
    </w:p>
    <w:p w14:paraId="4D288646" w14:textId="26B411EF" w:rsidR="00265264" w:rsidRDefault="00265264" w:rsidP="00A071C2">
      <w:pPr>
        <w:ind w:left="567"/>
        <w:jc w:val="both"/>
        <w:rPr>
          <w:color w:val="002060"/>
        </w:rPr>
      </w:pPr>
    </w:p>
    <w:p w14:paraId="6520C3E1" w14:textId="35078893" w:rsidR="00265264" w:rsidRDefault="00265264" w:rsidP="00A071C2">
      <w:pPr>
        <w:ind w:left="567"/>
        <w:jc w:val="both"/>
        <w:rPr>
          <w:color w:val="002060"/>
        </w:rPr>
      </w:pPr>
    </w:p>
    <w:p w14:paraId="7D0F3036" w14:textId="4AB98C64" w:rsidR="00265264" w:rsidRDefault="00265264" w:rsidP="00A071C2">
      <w:pPr>
        <w:ind w:left="567"/>
        <w:jc w:val="both"/>
        <w:rPr>
          <w:color w:val="002060"/>
        </w:rPr>
      </w:pPr>
    </w:p>
    <w:p w14:paraId="4B4BAD12" w14:textId="313B7617" w:rsidR="00265264" w:rsidRDefault="00265264" w:rsidP="00A071C2">
      <w:pPr>
        <w:ind w:left="567"/>
        <w:jc w:val="both"/>
        <w:rPr>
          <w:color w:val="002060"/>
        </w:rPr>
      </w:pPr>
    </w:p>
    <w:p w14:paraId="512E0F12" w14:textId="6F0500A6" w:rsidR="00265264" w:rsidRDefault="00265264" w:rsidP="00A071C2">
      <w:pPr>
        <w:ind w:left="567"/>
        <w:jc w:val="both"/>
        <w:rPr>
          <w:color w:val="002060"/>
        </w:rPr>
      </w:pPr>
    </w:p>
    <w:p w14:paraId="2DF6DBB7" w14:textId="7257B53F" w:rsidR="00265264" w:rsidRDefault="00265264" w:rsidP="00A071C2">
      <w:pPr>
        <w:ind w:left="567"/>
        <w:jc w:val="both"/>
        <w:rPr>
          <w:color w:val="002060"/>
        </w:rPr>
      </w:pPr>
    </w:p>
    <w:p w14:paraId="3655AC16" w14:textId="794B1989" w:rsidR="00265264" w:rsidRDefault="00265264" w:rsidP="00A071C2">
      <w:pPr>
        <w:jc w:val="both"/>
        <w:rPr>
          <w:color w:val="002060"/>
        </w:rPr>
      </w:pPr>
    </w:p>
    <w:p w14:paraId="511F92C8" w14:textId="77777777" w:rsidR="00322105" w:rsidRPr="00265264" w:rsidRDefault="00322105" w:rsidP="00A071C2">
      <w:pPr>
        <w:jc w:val="both"/>
        <w:rPr>
          <w:color w:val="002060"/>
        </w:rPr>
      </w:pPr>
    </w:p>
    <w:p w14:paraId="018B549B" w14:textId="0D7002C0" w:rsidR="00FC5BF5" w:rsidRPr="00FC5BF5" w:rsidRDefault="00FC5BF5" w:rsidP="00A071C2">
      <w:pPr>
        <w:pStyle w:val="Heading1"/>
        <w:shd w:val="clear" w:color="auto" w:fill="FFFFFF"/>
        <w:jc w:val="both"/>
        <w:rPr>
          <w:color w:val="404040"/>
          <w:sz w:val="24"/>
          <w:szCs w:val="24"/>
        </w:rPr>
      </w:pPr>
      <w:r>
        <w:rPr>
          <w:rFonts w:ascii="Calibri-BoldItalic" w:hAnsi="Calibri-BoldItalic" w:cs="Calibri-BoldItalic"/>
          <w:color w:val="002060"/>
          <w:sz w:val="26"/>
          <w:szCs w:val="26"/>
          <w:lang w:val="en-US"/>
        </w:rPr>
        <w:t xml:space="preserve">Questionnaire </w:t>
      </w:r>
    </w:p>
    <w:tbl>
      <w:tblPr>
        <w:tblStyle w:val="TableGrid"/>
        <w:tblpPr w:leftFromText="180" w:rightFromText="180" w:vertAnchor="text" w:horzAnchor="margin" w:tblpX="-714" w:tblpY="901"/>
        <w:tblW w:w="10485" w:type="dxa"/>
        <w:tblLook w:val="04A0" w:firstRow="1" w:lastRow="0" w:firstColumn="1" w:lastColumn="0" w:noHBand="0" w:noVBand="1"/>
      </w:tblPr>
      <w:tblGrid>
        <w:gridCol w:w="2516"/>
        <w:gridCol w:w="3794"/>
        <w:gridCol w:w="4175"/>
      </w:tblGrid>
      <w:tr w:rsidR="00CF0E17" w14:paraId="42006779" w14:textId="77777777" w:rsidTr="00135FDB">
        <w:tc>
          <w:tcPr>
            <w:tcW w:w="2516" w:type="dxa"/>
          </w:tcPr>
          <w:p w14:paraId="549EFA5D" w14:textId="7E92F3BF" w:rsidR="00CF0E17" w:rsidRPr="00BD7210" w:rsidRDefault="00265264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Product</w:t>
            </w:r>
            <w:r w:rsidR="00CF0E17">
              <w:rPr>
                <w:lang w:val="en-US"/>
              </w:rPr>
              <w:t xml:space="preserve"> </w:t>
            </w:r>
          </w:p>
        </w:tc>
        <w:tc>
          <w:tcPr>
            <w:tcW w:w="7969" w:type="dxa"/>
            <w:gridSpan w:val="2"/>
          </w:tcPr>
          <w:p w14:paraId="71F79447" w14:textId="77777777" w:rsidR="00CF0E17" w:rsidRPr="00E97FF3" w:rsidRDefault="00CF0E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(e.g., </w:t>
            </w:r>
            <w:proofErr w:type="spellStart"/>
            <w:r>
              <w:rPr>
                <w:lang w:val="en-US"/>
              </w:rPr>
              <w:t>tyres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CF0E17" w14:paraId="05854A2A" w14:textId="77777777" w:rsidTr="00135FDB">
        <w:tc>
          <w:tcPr>
            <w:tcW w:w="2516" w:type="dxa"/>
          </w:tcPr>
          <w:p w14:paraId="248E5437" w14:textId="6C4C0161" w:rsidR="00CF0E17" w:rsidRPr="00BD7210" w:rsidRDefault="00265264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Waste stream</w:t>
            </w:r>
          </w:p>
        </w:tc>
        <w:tc>
          <w:tcPr>
            <w:tcW w:w="7969" w:type="dxa"/>
            <w:gridSpan w:val="2"/>
          </w:tcPr>
          <w:p w14:paraId="034191DC" w14:textId="7AA2AFE0" w:rsidR="00CF0E17" w:rsidRDefault="00265264" w:rsidP="00A071C2">
            <w:pPr>
              <w:jc w:val="both"/>
            </w:pPr>
            <w:r>
              <w:rPr>
                <w:lang w:val="en-US"/>
              </w:rPr>
              <w:t xml:space="preserve">(e.g., tyre-derived rubber granulate/powder, recovered carbon black …) </w:t>
            </w:r>
          </w:p>
        </w:tc>
      </w:tr>
      <w:tr w:rsidR="00265264" w14:paraId="69BABD56" w14:textId="77777777" w:rsidTr="00135FDB">
        <w:tc>
          <w:tcPr>
            <w:tcW w:w="2516" w:type="dxa"/>
            <w:vMerge w:val="restart"/>
            <w:vAlign w:val="center"/>
          </w:tcPr>
          <w:p w14:paraId="4E9EB389" w14:textId="7608A9D4" w:rsidR="00265264" w:rsidRPr="00B04AD2" w:rsidRDefault="00265264" w:rsidP="00A071C2">
            <w:pPr>
              <w:jc w:val="both"/>
            </w:pPr>
            <w:r>
              <w:rPr>
                <w:lang w:val="en-US"/>
              </w:rPr>
              <w:t xml:space="preserve">How and what </w:t>
            </w:r>
            <w:r w:rsidR="00451528">
              <w:rPr>
                <w:lang w:val="en-US"/>
              </w:rPr>
              <w:t xml:space="preserve">precise </w:t>
            </w:r>
            <w:r>
              <w:rPr>
                <w:lang w:val="en-US"/>
              </w:rPr>
              <w:t>e</w:t>
            </w:r>
            <w:r w:rsidRPr="00B04AD2">
              <w:rPr>
                <w:lang w:val="en-US"/>
              </w:rPr>
              <w:t>co-design requirements</w:t>
            </w:r>
            <w:r>
              <w:rPr>
                <w:lang w:val="en-US"/>
              </w:rPr>
              <w:t xml:space="preserve"> could </w:t>
            </w:r>
            <w:r w:rsidR="00B00BED">
              <w:rPr>
                <w:lang w:val="en-US"/>
              </w:rPr>
              <w:t xml:space="preserve">have an </w:t>
            </w:r>
            <w:r>
              <w:rPr>
                <w:lang w:val="en-US"/>
              </w:rPr>
              <w:t>impact on the following aspect?</w:t>
            </w:r>
          </w:p>
        </w:tc>
        <w:tc>
          <w:tcPr>
            <w:tcW w:w="3794" w:type="dxa"/>
          </w:tcPr>
          <w:p w14:paraId="29E765DF" w14:textId="21D3E6F9" w:rsidR="00265264" w:rsidRPr="00451528" w:rsidRDefault="00265264" w:rsidP="00A071C2">
            <w:pPr>
              <w:autoSpaceDE w:val="0"/>
              <w:autoSpaceDN w:val="0"/>
              <w:adjustRightInd w:val="0"/>
              <w:jc w:val="both"/>
              <w:rPr>
                <w:rFonts w:ascii="ECSquareSansPro-Regular" w:hAnsi="ECSquareSansPro-Regular" w:cs="ECSquareSansPro-Regular"/>
                <w:sz w:val="20"/>
                <w:szCs w:val="20"/>
              </w:rPr>
            </w:pP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Extending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product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life cycle</w:t>
            </w:r>
          </w:p>
        </w:tc>
        <w:tc>
          <w:tcPr>
            <w:tcW w:w="4175" w:type="dxa"/>
          </w:tcPr>
          <w:p w14:paraId="19E10CF4" w14:textId="77777777" w:rsidR="00265264" w:rsidRDefault="00265264" w:rsidP="00A071C2">
            <w:pPr>
              <w:jc w:val="both"/>
            </w:pPr>
          </w:p>
        </w:tc>
      </w:tr>
      <w:tr w:rsidR="00265264" w14:paraId="678EEF51" w14:textId="77777777" w:rsidTr="00135FDB">
        <w:tc>
          <w:tcPr>
            <w:tcW w:w="2516" w:type="dxa"/>
            <w:vMerge/>
          </w:tcPr>
          <w:p w14:paraId="3BFE7E22" w14:textId="77777777" w:rsidR="00265264" w:rsidRPr="00B04AD2" w:rsidRDefault="00265264" w:rsidP="00A071C2">
            <w:pPr>
              <w:jc w:val="both"/>
            </w:pPr>
          </w:p>
        </w:tc>
        <w:tc>
          <w:tcPr>
            <w:tcW w:w="3794" w:type="dxa"/>
          </w:tcPr>
          <w:p w14:paraId="548A01E0" w14:textId="388D77C8" w:rsidR="00265264" w:rsidRPr="00451528" w:rsidRDefault="00265264" w:rsidP="00A071C2">
            <w:pPr>
              <w:autoSpaceDE w:val="0"/>
              <w:autoSpaceDN w:val="0"/>
              <w:adjustRightInd w:val="0"/>
              <w:jc w:val="both"/>
              <w:rPr>
                <w:rFonts w:ascii="ECSquareSansPro-Regular" w:hAnsi="ECSquareSansPro-Regular" w:cs="ECSquareSansPro-Regular"/>
                <w:sz w:val="20"/>
                <w:szCs w:val="20"/>
              </w:rPr>
            </w:pP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Reducing carbon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a</w:t>
            </w:r>
            <w:proofErr w:type="spellStart"/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nd</w:t>
            </w:r>
            <w:proofErr w:type="spellEnd"/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 xml:space="preserve"> environmental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f</w:t>
            </w:r>
            <w:proofErr w:type="spellStart"/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ootprints</w:t>
            </w:r>
            <w:proofErr w:type="spellEnd"/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of products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throughout their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life cycle</w:t>
            </w:r>
          </w:p>
        </w:tc>
        <w:tc>
          <w:tcPr>
            <w:tcW w:w="4175" w:type="dxa"/>
          </w:tcPr>
          <w:p w14:paraId="379844AA" w14:textId="77777777" w:rsidR="00265264" w:rsidRDefault="00265264" w:rsidP="00A071C2">
            <w:pPr>
              <w:jc w:val="both"/>
            </w:pPr>
          </w:p>
        </w:tc>
      </w:tr>
      <w:tr w:rsidR="00265264" w14:paraId="44A4A145" w14:textId="77777777" w:rsidTr="00135FDB">
        <w:tc>
          <w:tcPr>
            <w:tcW w:w="2516" w:type="dxa"/>
            <w:vMerge/>
          </w:tcPr>
          <w:p w14:paraId="717FF427" w14:textId="77777777" w:rsidR="00265264" w:rsidRPr="00B04AD2" w:rsidRDefault="00265264" w:rsidP="00A071C2">
            <w:pPr>
              <w:jc w:val="both"/>
            </w:pPr>
          </w:p>
        </w:tc>
        <w:tc>
          <w:tcPr>
            <w:tcW w:w="3794" w:type="dxa"/>
          </w:tcPr>
          <w:p w14:paraId="5050E01C" w14:textId="562F6D48" w:rsidR="00265264" w:rsidRPr="00451528" w:rsidRDefault="00265264" w:rsidP="00A071C2">
            <w:pPr>
              <w:autoSpaceDE w:val="0"/>
              <w:autoSpaceDN w:val="0"/>
              <w:adjustRightInd w:val="0"/>
              <w:jc w:val="both"/>
              <w:rPr>
                <w:rFonts w:ascii="ECSquareSansPro-Regular" w:hAnsi="ECSquareSansPro-Regular" w:cs="ECSquareSansPro-Regular"/>
                <w:sz w:val="20"/>
                <w:szCs w:val="20"/>
              </w:rPr>
            </w:pP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Ensuring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products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are fit for a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climate neutral</w:t>
            </w:r>
            <w:r w:rsidR="00552DF1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and circular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economy</w:t>
            </w:r>
          </w:p>
        </w:tc>
        <w:tc>
          <w:tcPr>
            <w:tcW w:w="4175" w:type="dxa"/>
          </w:tcPr>
          <w:p w14:paraId="6632C461" w14:textId="77777777" w:rsidR="00265264" w:rsidRDefault="00265264" w:rsidP="00A071C2">
            <w:pPr>
              <w:jc w:val="both"/>
            </w:pPr>
          </w:p>
        </w:tc>
      </w:tr>
      <w:tr w:rsidR="00373363" w14:paraId="0213728B" w14:textId="77777777" w:rsidTr="00135FDB">
        <w:tc>
          <w:tcPr>
            <w:tcW w:w="2516" w:type="dxa"/>
            <w:vMerge/>
          </w:tcPr>
          <w:p w14:paraId="7ACB9A59" w14:textId="77777777" w:rsidR="00373363" w:rsidRPr="00B04AD2" w:rsidRDefault="00373363" w:rsidP="00A071C2">
            <w:pPr>
              <w:jc w:val="both"/>
            </w:pPr>
          </w:p>
        </w:tc>
        <w:tc>
          <w:tcPr>
            <w:tcW w:w="3794" w:type="dxa"/>
          </w:tcPr>
          <w:p w14:paraId="5CA5B82B" w14:textId="70DDF7FD" w:rsidR="00373363" w:rsidRPr="00451528" w:rsidRDefault="00373363" w:rsidP="00A071C2">
            <w:pPr>
              <w:autoSpaceDE w:val="0"/>
              <w:autoSpaceDN w:val="0"/>
              <w:adjustRightInd w:val="0"/>
              <w:jc w:val="both"/>
              <w:rPr>
                <w:rFonts w:ascii="ECSquareSansPro-Regular" w:hAnsi="ECSquareSansPro-Regular" w:cs="ECSquareSansPro-Regular"/>
                <w:sz w:val="20"/>
                <w:szCs w:val="20"/>
              </w:rPr>
            </w:pP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Preventing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waste and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boosting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material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recovery</w:t>
            </w:r>
          </w:p>
        </w:tc>
        <w:tc>
          <w:tcPr>
            <w:tcW w:w="4175" w:type="dxa"/>
          </w:tcPr>
          <w:p w14:paraId="5C972D0D" w14:textId="77777777" w:rsidR="00373363" w:rsidRDefault="00373363" w:rsidP="00A071C2">
            <w:pPr>
              <w:jc w:val="both"/>
            </w:pPr>
          </w:p>
        </w:tc>
      </w:tr>
      <w:tr w:rsidR="00373363" w14:paraId="495A955A" w14:textId="77777777" w:rsidTr="00135FDB">
        <w:tc>
          <w:tcPr>
            <w:tcW w:w="2516" w:type="dxa"/>
            <w:vMerge/>
          </w:tcPr>
          <w:p w14:paraId="3F1DF63E" w14:textId="77777777" w:rsidR="00373363" w:rsidRPr="00B04AD2" w:rsidRDefault="00373363" w:rsidP="00A071C2">
            <w:pPr>
              <w:jc w:val="both"/>
            </w:pPr>
          </w:p>
        </w:tc>
        <w:tc>
          <w:tcPr>
            <w:tcW w:w="3794" w:type="dxa"/>
          </w:tcPr>
          <w:p w14:paraId="0005DA66" w14:textId="174C7DC3" w:rsidR="00373363" w:rsidRPr="00451528" w:rsidRDefault="00373363" w:rsidP="00A071C2">
            <w:pPr>
              <w:autoSpaceDE w:val="0"/>
              <w:autoSpaceDN w:val="0"/>
              <w:adjustRightInd w:val="0"/>
              <w:jc w:val="both"/>
              <w:rPr>
                <w:rFonts w:ascii="ECSquareSansPro-Regular" w:hAnsi="ECSquareSansPro-Regular" w:cs="ECSquareSansPro-Regular"/>
                <w:sz w:val="20"/>
                <w:szCs w:val="20"/>
              </w:rPr>
            </w:pP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Minimum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uptake of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recycled</w:t>
            </w:r>
            <w:r w:rsidR="00451528"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</w:t>
            </w:r>
            <w:r w:rsidRPr="00B04AD2">
              <w:rPr>
                <w:rFonts w:ascii="ECSquareSansPro-Regular" w:hAnsi="ECSquareSansPro-Regular" w:cs="ECSquareSansPro-Regular"/>
                <w:sz w:val="20"/>
                <w:szCs w:val="20"/>
              </w:rPr>
              <w:t>materials</w:t>
            </w:r>
            <w:r>
              <w:rPr>
                <w:rFonts w:ascii="ECSquareSansPro-Regular" w:hAnsi="ECSquareSansPro-Regular" w:cs="ECSquareSansPro-Regular"/>
                <w:sz w:val="20"/>
                <w:szCs w:val="20"/>
                <w:lang w:val="en-US"/>
              </w:rPr>
              <w:t xml:space="preserve"> (how much?)</w:t>
            </w:r>
          </w:p>
        </w:tc>
        <w:tc>
          <w:tcPr>
            <w:tcW w:w="4175" w:type="dxa"/>
          </w:tcPr>
          <w:p w14:paraId="7B983233" w14:textId="77777777" w:rsidR="00373363" w:rsidRDefault="00373363" w:rsidP="00A071C2">
            <w:pPr>
              <w:jc w:val="both"/>
            </w:pPr>
          </w:p>
        </w:tc>
      </w:tr>
      <w:tr w:rsidR="00FB5517" w14:paraId="7F39CD18" w14:textId="77777777" w:rsidTr="00135FDB">
        <w:tc>
          <w:tcPr>
            <w:tcW w:w="2516" w:type="dxa"/>
          </w:tcPr>
          <w:p w14:paraId="6A6BFA6A" w14:textId="52333E96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How can eco</w:t>
            </w:r>
            <w:r w:rsidR="00135FDB">
              <w:rPr>
                <w:lang w:val="en-US"/>
              </w:rPr>
              <w:t>-</w:t>
            </w:r>
            <w:r>
              <w:rPr>
                <w:lang w:val="en-US"/>
              </w:rPr>
              <w:t>design of the product contribute to the EU objectives</w:t>
            </w:r>
            <w:r w:rsidR="00135FDB">
              <w:rPr>
                <w:lang w:val="en-US"/>
              </w:rPr>
              <w:t xml:space="preserve"> of circularity and sustainability</w:t>
            </w:r>
            <w:r w:rsidR="00552DF1">
              <w:rPr>
                <w:lang w:val="en-US"/>
              </w:rPr>
              <w:t xml:space="preserve"> in the short-term/long-term</w:t>
            </w:r>
            <w:r>
              <w:rPr>
                <w:lang w:val="en-US"/>
              </w:rPr>
              <w:t>?</w:t>
            </w:r>
          </w:p>
          <w:p w14:paraId="332085EC" w14:textId="58CE4179" w:rsidR="00FB5517" w:rsidRPr="004F7BDB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0398F774" w14:textId="77777777" w:rsidR="00FB5517" w:rsidRDefault="00FB5517" w:rsidP="00A071C2">
            <w:pPr>
              <w:jc w:val="both"/>
            </w:pPr>
          </w:p>
        </w:tc>
      </w:tr>
      <w:tr w:rsidR="00FB5517" w14:paraId="7E30423B" w14:textId="77777777" w:rsidTr="00135FDB">
        <w:tc>
          <w:tcPr>
            <w:tcW w:w="2516" w:type="dxa"/>
          </w:tcPr>
          <w:p w14:paraId="48F0E100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What are the potential improvement aspects? </w:t>
            </w:r>
          </w:p>
          <w:p w14:paraId="677E1CC9" w14:textId="77777777" w:rsidR="00FB5517" w:rsidRPr="0092375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1C01D552" w14:textId="77777777" w:rsidR="00FB5517" w:rsidRDefault="00FB5517" w:rsidP="00A071C2">
            <w:pPr>
              <w:jc w:val="both"/>
            </w:pPr>
          </w:p>
        </w:tc>
      </w:tr>
      <w:tr w:rsidR="00FB5517" w14:paraId="4FC0E26A" w14:textId="77777777" w:rsidTr="00135FDB">
        <w:tc>
          <w:tcPr>
            <w:tcW w:w="2516" w:type="dxa"/>
          </w:tcPr>
          <w:p w14:paraId="74ABFC18" w14:textId="4823132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What are the volume</w:t>
            </w:r>
            <w:r w:rsidR="00135FDB">
              <w:rPr>
                <w:lang w:val="en-US"/>
              </w:rPr>
              <w:t>s</w:t>
            </w:r>
            <w:r>
              <w:rPr>
                <w:lang w:val="en-US"/>
              </w:rPr>
              <w:t xml:space="preserve"> of sales and trade in EU/your Member State?</w:t>
            </w:r>
          </w:p>
          <w:p w14:paraId="1C69D65C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7FA64BB4" w14:textId="77777777" w:rsidR="00FB5517" w:rsidRDefault="00FB5517" w:rsidP="00A071C2">
            <w:pPr>
              <w:jc w:val="both"/>
            </w:pPr>
          </w:p>
        </w:tc>
      </w:tr>
      <w:tr w:rsidR="00FB5517" w14:paraId="6A47FE52" w14:textId="77777777" w:rsidTr="00135FDB">
        <w:tc>
          <w:tcPr>
            <w:tcW w:w="2516" w:type="dxa"/>
          </w:tcPr>
          <w:p w14:paraId="5F7909FF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How much waste is generated? </w:t>
            </w:r>
          </w:p>
          <w:p w14:paraId="35BAD9B8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018E2AD6" w14:textId="77777777" w:rsidR="00FB5517" w:rsidRDefault="00FB5517" w:rsidP="00A071C2">
            <w:pPr>
              <w:jc w:val="both"/>
            </w:pPr>
          </w:p>
        </w:tc>
      </w:tr>
      <w:tr w:rsidR="00FB5517" w14:paraId="1D0F7CCF" w14:textId="77777777" w:rsidTr="00135FDB">
        <w:tc>
          <w:tcPr>
            <w:tcW w:w="2516" w:type="dxa"/>
          </w:tcPr>
          <w:p w14:paraId="02E1214B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What are the environmental impacts associated to mismanagement of the product once is a waste?</w:t>
            </w:r>
          </w:p>
          <w:p w14:paraId="3E6073D5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15489882" w14:textId="77777777" w:rsidR="00FB5517" w:rsidRDefault="00FB5517" w:rsidP="00A071C2">
            <w:pPr>
              <w:jc w:val="both"/>
            </w:pPr>
          </w:p>
        </w:tc>
      </w:tr>
      <w:tr w:rsidR="00FB5517" w14:paraId="0439530D" w14:textId="77777777" w:rsidTr="00135FDB">
        <w:tc>
          <w:tcPr>
            <w:tcW w:w="2516" w:type="dxa"/>
          </w:tcPr>
          <w:p w14:paraId="178AFD3E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What have been the latest innovation in state-of-the art recycling and technologies allowing to introduce that material </w:t>
            </w:r>
            <w:r>
              <w:rPr>
                <w:lang w:val="en-US"/>
              </w:rPr>
              <w:lastRenderedPageBreak/>
              <w:t>back into new production cycles?</w:t>
            </w:r>
          </w:p>
          <w:p w14:paraId="530348EE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4011C181" w14:textId="77777777" w:rsidR="00FB5517" w:rsidRDefault="00FB5517" w:rsidP="00A071C2">
            <w:pPr>
              <w:jc w:val="both"/>
            </w:pPr>
          </w:p>
        </w:tc>
      </w:tr>
      <w:tr w:rsidR="00FB5517" w14:paraId="470309FD" w14:textId="77777777" w:rsidTr="00135FDB">
        <w:tc>
          <w:tcPr>
            <w:tcW w:w="2516" w:type="dxa"/>
          </w:tcPr>
          <w:p w14:paraId="0EFBB868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How can circularity by using recycled materials help to alleviate raw material dependance from other regions? </w:t>
            </w:r>
          </w:p>
          <w:p w14:paraId="2633BD64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29F56A7D" w14:textId="77777777" w:rsidR="00FB5517" w:rsidRDefault="00FB5517" w:rsidP="00A071C2">
            <w:pPr>
              <w:jc w:val="both"/>
            </w:pPr>
          </w:p>
        </w:tc>
      </w:tr>
      <w:tr w:rsidR="00FB5517" w14:paraId="5F1738D0" w14:textId="77777777" w:rsidTr="00135FDB">
        <w:tc>
          <w:tcPr>
            <w:tcW w:w="2516" w:type="dxa"/>
          </w:tcPr>
          <w:p w14:paraId="099C3484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Which product information should be available for consumers? </w:t>
            </w:r>
          </w:p>
          <w:p w14:paraId="05633BF7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4B0021A3" w14:textId="77777777" w:rsidR="00FB5517" w:rsidRDefault="00FB5517" w:rsidP="00A071C2">
            <w:pPr>
              <w:jc w:val="both"/>
            </w:pPr>
          </w:p>
        </w:tc>
      </w:tr>
      <w:tr w:rsidR="00FB5517" w14:paraId="2F9F8176" w14:textId="77777777" w:rsidTr="00135FDB">
        <w:tc>
          <w:tcPr>
            <w:tcW w:w="2516" w:type="dxa"/>
          </w:tcPr>
          <w:p w14:paraId="00E7E3DE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How could mandatory public procurement play a role? </w:t>
            </w:r>
          </w:p>
          <w:p w14:paraId="18EB7229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1B874645" w14:textId="77777777" w:rsidR="00FB5517" w:rsidRDefault="00FB5517" w:rsidP="00A071C2">
            <w:pPr>
              <w:jc w:val="both"/>
            </w:pPr>
          </w:p>
        </w:tc>
      </w:tr>
      <w:tr w:rsidR="00FB5517" w14:paraId="36D1E1B0" w14:textId="77777777" w:rsidTr="00135FDB">
        <w:tc>
          <w:tcPr>
            <w:tcW w:w="2516" w:type="dxa"/>
          </w:tcPr>
          <w:p w14:paraId="013F125B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Which method/standard would you recommend to reflect eco-design? Are already any in place (e.g., sustainability label)?  </w:t>
            </w:r>
          </w:p>
          <w:p w14:paraId="1C8CEAD8" w14:textId="77777777" w:rsidR="00FB5517" w:rsidRDefault="00FB5517" w:rsidP="00A071C2">
            <w:pPr>
              <w:jc w:val="both"/>
            </w:pPr>
          </w:p>
        </w:tc>
        <w:tc>
          <w:tcPr>
            <w:tcW w:w="7969" w:type="dxa"/>
            <w:gridSpan w:val="2"/>
          </w:tcPr>
          <w:p w14:paraId="651A2387" w14:textId="77777777" w:rsidR="00FB5517" w:rsidRDefault="00FB5517" w:rsidP="00A071C2">
            <w:pPr>
              <w:jc w:val="both"/>
            </w:pPr>
          </w:p>
        </w:tc>
      </w:tr>
      <w:tr w:rsidR="00FB5517" w14:paraId="75E934C5" w14:textId="77777777" w:rsidTr="00135FDB">
        <w:tc>
          <w:tcPr>
            <w:tcW w:w="2516" w:type="dxa"/>
          </w:tcPr>
          <w:p w14:paraId="7D74E893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Should any substance be banned? </w:t>
            </w:r>
          </w:p>
          <w:p w14:paraId="1D3D144A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4B401EC4" w14:textId="77777777" w:rsidR="00FB5517" w:rsidRDefault="00FB5517" w:rsidP="00A071C2">
            <w:pPr>
              <w:jc w:val="both"/>
            </w:pPr>
          </w:p>
        </w:tc>
      </w:tr>
      <w:tr w:rsidR="00FB5517" w14:paraId="1A7F499F" w14:textId="77777777" w:rsidTr="00135FDB">
        <w:tc>
          <w:tcPr>
            <w:tcW w:w="2516" w:type="dxa"/>
          </w:tcPr>
          <w:p w14:paraId="3D12258C" w14:textId="6474A250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Which product information as recycler </w:t>
            </w:r>
            <w:r w:rsidR="00B00BED">
              <w:rPr>
                <w:lang w:val="en-US"/>
              </w:rPr>
              <w:t xml:space="preserve">would you </w:t>
            </w:r>
            <w:r>
              <w:rPr>
                <w:lang w:val="en-US"/>
              </w:rPr>
              <w:t xml:space="preserve">like to find reflected on the Digital Product Passport (DPP)? </w:t>
            </w:r>
          </w:p>
          <w:p w14:paraId="0E9A552B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51C1FFCD" w14:textId="77777777" w:rsidR="00FB5517" w:rsidRPr="00B00BED" w:rsidRDefault="00FB5517" w:rsidP="00A071C2">
            <w:pPr>
              <w:jc w:val="both"/>
              <w:rPr>
                <w:lang w:val="en-US"/>
              </w:rPr>
            </w:pPr>
          </w:p>
        </w:tc>
      </w:tr>
      <w:tr w:rsidR="00FB5517" w14:paraId="6B08AD1C" w14:textId="77777777" w:rsidTr="00135FDB">
        <w:tc>
          <w:tcPr>
            <w:tcW w:w="2516" w:type="dxa"/>
          </w:tcPr>
          <w:p w14:paraId="547B604C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How can information in the DPP help better collection, sorting and recycling? </w:t>
            </w:r>
          </w:p>
          <w:p w14:paraId="20380CB0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214B910F" w14:textId="77777777" w:rsidR="00FB5517" w:rsidRDefault="00FB5517" w:rsidP="00A071C2">
            <w:pPr>
              <w:jc w:val="both"/>
            </w:pPr>
          </w:p>
        </w:tc>
      </w:tr>
      <w:tr w:rsidR="00FB5517" w14:paraId="15FDFB71" w14:textId="77777777" w:rsidTr="00135FDB">
        <w:tc>
          <w:tcPr>
            <w:tcW w:w="2516" w:type="dxa"/>
          </w:tcPr>
          <w:p w14:paraId="096E1017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Could the information in the DPP simplify compliance of the recovered material? </w:t>
            </w:r>
          </w:p>
          <w:p w14:paraId="6AF71AC5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24CADFF2" w14:textId="77777777" w:rsidR="00FB5517" w:rsidRDefault="00FB5517" w:rsidP="00A071C2">
            <w:pPr>
              <w:jc w:val="both"/>
            </w:pPr>
          </w:p>
        </w:tc>
      </w:tr>
      <w:tr w:rsidR="00FB5517" w14:paraId="6E59A264" w14:textId="77777777" w:rsidTr="00135FDB">
        <w:tc>
          <w:tcPr>
            <w:tcW w:w="2516" w:type="dxa"/>
          </w:tcPr>
          <w:p w14:paraId="0DB204DA" w14:textId="77777777" w:rsidR="00FB5517" w:rsidRPr="008B607F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Which topics could the </w:t>
            </w:r>
            <w:r w:rsidRPr="008B607F">
              <w:rPr>
                <w:lang w:val="en-US"/>
              </w:rPr>
              <w:t xml:space="preserve">Joint Research Centre (JRC) address in terms of circularity of the product </w:t>
            </w:r>
            <w:r w:rsidRPr="008B607F">
              <w:rPr>
                <w:lang w:val="en-US"/>
              </w:rPr>
              <w:lastRenderedPageBreak/>
              <w:t xml:space="preserve">(e.g., recycled content, recyclability …)? </w:t>
            </w:r>
          </w:p>
          <w:p w14:paraId="4BA3DE30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688FC3DB" w14:textId="77777777" w:rsidR="00FB5517" w:rsidRDefault="00FB5517" w:rsidP="00A071C2">
            <w:pPr>
              <w:jc w:val="both"/>
            </w:pPr>
          </w:p>
        </w:tc>
      </w:tr>
      <w:tr w:rsidR="00FB5517" w14:paraId="2E2B1E1F" w14:textId="77777777" w:rsidTr="00135FDB">
        <w:tc>
          <w:tcPr>
            <w:tcW w:w="2516" w:type="dxa"/>
          </w:tcPr>
          <w:p w14:paraId="200F2521" w14:textId="77777777" w:rsidR="00FB5517" w:rsidRDefault="00FB5517" w:rsidP="00A071C2">
            <w:pPr>
              <w:jc w:val="both"/>
              <w:rPr>
                <w:lang w:val="en-US"/>
              </w:rPr>
            </w:pPr>
          </w:p>
          <w:p w14:paraId="00101C8A" w14:textId="7CFCF670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Which substances of concern (SoC) -find definition above in the text- could be diminished or remove</w:t>
            </w:r>
            <w:r w:rsidR="00C01A2A">
              <w:rPr>
                <w:lang w:val="en-US"/>
              </w:rPr>
              <w:t>d</w:t>
            </w:r>
            <w:r>
              <w:rPr>
                <w:lang w:val="en-US"/>
              </w:rPr>
              <w:t xml:space="preserve"> from the product to prevent a negative impact in recycling? </w:t>
            </w:r>
          </w:p>
          <w:p w14:paraId="7FB7BD80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46EDDC59" w14:textId="77777777" w:rsidR="00FB5517" w:rsidRPr="00C01A2A" w:rsidRDefault="00FB5517" w:rsidP="00A071C2">
            <w:pPr>
              <w:jc w:val="both"/>
              <w:rPr>
                <w:lang w:val="en-US"/>
              </w:rPr>
            </w:pPr>
          </w:p>
        </w:tc>
      </w:tr>
      <w:tr w:rsidR="00FB5517" w14:paraId="450847ED" w14:textId="77777777" w:rsidTr="00135FDB">
        <w:tc>
          <w:tcPr>
            <w:tcW w:w="2516" w:type="dxa"/>
          </w:tcPr>
          <w:p w14:paraId="1808FB6E" w14:textId="77777777" w:rsidR="00FB5517" w:rsidRDefault="00FB5517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 case it cannot be eliminated, how can i</w:t>
            </w:r>
            <w:r w:rsidRPr="002A210A">
              <w:rPr>
                <w:lang w:val="en-US"/>
              </w:rPr>
              <w:t>nformation &amp; tracing</w:t>
            </w:r>
            <w:r>
              <w:rPr>
                <w:lang w:val="en-US"/>
              </w:rPr>
              <w:t xml:space="preserve"> obligations for manufacturers be implemented to ensure SoC traceability? </w:t>
            </w:r>
          </w:p>
          <w:p w14:paraId="16A4D693" w14:textId="77777777" w:rsidR="00FB5517" w:rsidRPr="00FB5517" w:rsidRDefault="00FB5517" w:rsidP="00A071C2">
            <w:pPr>
              <w:jc w:val="both"/>
              <w:rPr>
                <w:lang w:val="en-US"/>
              </w:rPr>
            </w:pPr>
          </w:p>
        </w:tc>
        <w:tc>
          <w:tcPr>
            <w:tcW w:w="7969" w:type="dxa"/>
            <w:gridSpan w:val="2"/>
          </w:tcPr>
          <w:p w14:paraId="4CC88E4F" w14:textId="77777777" w:rsidR="00FB5517" w:rsidRDefault="00FB5517" w:rsidP="00A071C2">
            <w:pPr>
              <w:jc w:val="both"/>
            </w:pPr>
          </w:p>
        </w:tc>
      </w:tr>
      <w:tr w:rsidR="00135FDB" w14:paraId="509B9975" w14:textId="77777777" w:rsidTr="00135FDB">
        <w:tc>
          <w:tcPr>
            <w:tcW w:w="2516" w:type="dxa"/>
          </w:tcPr>
          <w:p w14:paraId="64ECBA1E" w14:textId="1AB73D12" w:rsidR="00135FDB" w:rsidRDefault="00135FDB" w:rsidP="00A071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Any other considerations?</w:t>
            </w:r>
          </w:p>
        </w:tc>
        <w:tc>
          <w:tcPr>
            <w:tcW w:w="7969" w:type="dxa"/>
            <w:gridSpan w:val="2"/>
          </w:tcPr>
          <w:p w14:paraId="68AD04BC" w14:textId="77777777" w:rsidR="00135FDB" w:rsidRDefault="00135FDB" w:rsidP="00A071C2">
            <w:pPr>
              <w:jc w:val="both"/>
            </w:pPr>
          </w:p>
        </w:tc>
      </w:tr>
    </w:tbl>
    <w:p w14:paraId="1BCC2E3F" w14:textId="69F08839" w:rsidR="00CF0E17" w:rsidRDefault="00CF0E17" w:rsidP="00A071C2">
      <w:pPr>
        <w:jc w:val="both"/>
        <w:rPr>
          <w:lang w:val="en-US"/>
        </w:rPr>
      </w:pPr>
    </w:p>
    <w:p w14:paraId="4BA6F36F" w14:textId="5ED5C569" w:rsidR="00265264" w:rsidRDefault="00265264" w:rsidP="00A071C2">
      <w:pPr>
        <w:jc w:val="both"/>
        <w:rPr>
          <w:lang w:val="en-US"/>
        </w:rPr>
      </w:pPr>
    </w:p>
    <w:p w14:paraId="4A03300D" w14:textId="77777777" w:rsidR="00265264" w:rsidRPr="00BD7210" w:rsidRDefault="00265264" w:rsidP="00A071C2">
      <w:pPr>
        <w:jc w:val="both"/>
        <w:rPr>
          <w:lang w:val="en-US"/>
        </w:rPr>
      </w:pPr>
    </w:p>
    <w:sectPr w:rsidR="00265264" w:rsidRPr="00BD721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100B" w14:textId="77777777" w:rsidR="0086562E" w:rsidRDefault="0086562E" w:rsidP="00BD7210">
      <w:pPr>
        <w:spacing w:after="0" w:line="240" w:lineRule="auto"/>
      </w:pPr>
      <w:r>
        <w:separator/>
      </w:r>
    </w:p>
  </w:endnote>
  <w:endnote w:type="continuationSeparator" w:id="0">
    <w:p w14:paraId="3CE3AE66" w14:textId="77777777" w:rsidR="0086562E" w:rsidRDefault="0086562E" w:rsidP="00BD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Squar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SquareSansPro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654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C6586" w14:textId="5D484E9C" w:rsidR="00413392" w:rsidRDefault="004133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82BAB8" w14:textId="77777777" w:rsidR="00413392" w:rsidRDefault="00413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8ED6" w14:textId="77777777" w:rsidR="0086562E" w:rsidRDefault="0086562E" w:rsidP="00BD7210">
      <w:pPr>
        <w:spacing w:after="0" w:line="240" w:lineRule="auto"/>
      </w:pPr>
      <w:r>
        <w:separator/>
      </w:r>
    </w:p>
  </w:footnote>
  <w:footnote w:type="continuationSeparator" w:id="0">
    <w:p w14:paraId="2C1F9717" w14:textId="77777777" w:rsidR="0086562E" w:rsidRDefault="0086562E" w:rsidP="00BD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84DC" w14:textId="5E21A39E" w:rsidR="004F7BDB" w:rsidRPr="00322105" w:rsidRDefault="006C034B" w:rsidP="00322105">
    <w:pPr>
      <w:tabs>
        <w:tab w:val="left" w:pos="2977"/>
      </w:tabs>
      <w:autoSpaceDE w:val="0"/>
      <w:autoSpaceDN w:val="0"/>
      <w:adjustRightInd w:val="0"/>
      <w:spacing w:after="0" w:line="240" w:lineRule="auto"/>
      <w:ind w:left="-709" w:right="-1039"/>
      <w:jc w:val="center"/>
      <w:rPr>
        <w:rFonts w:ascii="ECSquareSansPro-Medium" w:hAnsi="ECSquareSansPro-Medium" w:cs="ECSquareSansPro-Medium"/>
        <w:color w:val="FFFFFF" w:themeColor="background1"/>
        <w:sz w:val="66"/>
        <w:szCs w:val="66"/>
      </w:rPr>
    </w:pPr>
    <w:r w:rsidRPr="006C034B">
      <w:rPr>
        <w:rFonts w:ascii="ECSquareSansPro-Medium" w:hAnsi="ECSquareSansPro-Medium" w:cs="ECSquareSansPro-Medium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E3B409" wp14:editId="470D03C8">
              <wp:simplePos x="0" y="0"/>
              <wp:positionH relativeFrom="page">
                <wp:align>left</wp:align>
              </wp:positionH>
              <wp:positionV relativeFrom="paragraph">
                <wp:posOffset>7619</wp:posOffset>
              </wp:positionV>
              <wp:extent cx="7543800" cy="3619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617C5" id="Rectangle 2" o:spid="_x0000_s1026" style="position:absolute;margin-left:0;margin-top:.6pt;width:594pt;height:28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" fillcolor="#2f5496 [2404]" strokecolor="#1f3763 [1604]" strokeweight="1pt">
              <w10:wrap anchorx="page"/>
            </v:rect>
          </w:pict>
        </mc:Fallback>
      </mc:AlternateContent>
    </w:r>
    <w:r w:rsidRPr="006C034B">
      <w:rPr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641D8E47" wp14:editId="0F7A0743">
          <wp:simplePos x="0" y="0"/>
          <wp:positionH relativeFrom="column">
            <wp:posOffset>5896443</wp:posOffset>
          </wp:positionH>
          <wp:positionV relativeFrom="paragraph">
            <wp:posOffset>-382905</wp:posOffset>
          </wp:positionV>
          <wp:extent cx="540992" cy="3524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91" cy="35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210" w:rsidRPr="006C034B">
      <w:rPr>
        <w:rFonts w:ascii="ECSquareSansPro-Medium" w:hAnsi="ECSquareSansPro-Medium" w:cs="ECSquareSansPro-Medium"/>
        <w:color w:val="FFFFFF" w:themeColor="background1"/>
        <w:sz w:val="44"/>
        <w:szCs w:val="44"/>
      </w:rPr>
      <w:t>Making</w:t>
    </w:r>
    <w:r w:rsidR="00BD7210" w:rsidRPr="006C034B">
      <w:rPr>
        <w:rFonts w:ascii="ECSquareSansPro-Medium" w:hAnsi="ECSquareSansPro-Medium" w:cs="ECSquareSansPro-Medium"/>
        <w:color w:val="FFFFFF" w:themeColor="background1"/>
        <w:sz w:val="44"/>
        <w:szCs w:val="44"/>
        <w:lang w:val="en-US"/>
      </w:rPr>
      <w:t xml:space="preserve"> </w:t>
    </w:r>
    <w:r w:rsidR="00BD7210" w:rsidRPr="006C034B">
      <w:rPr>
        <w:rFonts w:ascii="ECSquareSansPro-Medium" w:hAnsi="ECSquareSansPro-Medium" w:cs="ECSquareSansPro-Medium"/>
        <w:color w:val="FFFFFF" w:themeColor="background1"/>
        <w:sz w:val="44"/>
        <w:szCs w:val="44"/>
      </w:rPr>
      <w:t>sustainable products</w:t>
    </w:r>
    <w:r w:rsidRPr="006C034B">
      <w:rPr>
        <w:rFonts w:ascii="ECSquareSansPro-Medium" w:hAnsi="ECSquareSansPro-Medium" w:cs="ECSquareSansPro-Medium"/>
        <w:color w:val="FFFFFF" w:themeColor="background1"/>
        <w:sz w:val="44"/>
        <w:szCs w:val="44"/>
        <w:lang w:val="en-US"/>
      </w:rPr>
      <w:t xml:space="preserve"> </w:t>
    </w:r>
    <w:r w:rsidR="00BD7210" w:rsidRPr="006C034B">
      <w:rPr>
        <w:rFonts w:ascii="ECSquareSansPro-Medium" w:hAnsi="ECSquareSansPro-Medium" w:cs="ECSquareSansPro-Medium"/>
        <w:color w:val="FFFFFF" w:themeColor="background1"/>
        <w:sz w:val="44"/>
        <w:szCs w:val="44"/>
      </w:rPr>
      <w:t xml:space="preserve">the norm in </w:t>
    </w:r>
    <w:proofErr w:type="spellStart"/>
    <w:r w:rsidR="00BD7210" w:rsidRPr="006C034B">
      <w:rPr>
        <w:rFonts w:ascii="ECSquareSansPro-Medium" w:hAnsi="ECSquareSansPro-Medium" w:cs="ECSquareSansPro-Medium"/>
        <w:color w:val="FFFFFF" w:themeColor="background1"/>
        <w:sz w:val="44"/>
        <w:szCs w:val="44"/>
      </w:rPr>
      <w:t>Europ</w:t>
    </w:r>
    <w:proofErr w:type="spellEnd"/>
    <w:r w:rsidR="004F7BDB" w:rsidRPr="006C034B">
      <w:rPr>
        <w:rFonts w:ascii="ECSquareSansPro-Medium" w:hAnsi="ECSquareSansPro-Medium" w:cs="ECSquareSansPro-Medium"/>
        <w:color w:val="FFFFFF" w:themeColor="background1"/>
        <w:sz w:val="44"/>
        <w:szCs w:val="44"/>
        <w:lang w:val="en-US"/>
      </w:rPr>
      <w:t>e</w:t>
    </w:r>
    <w:r w:rsidR="00322105">
      <w:rPr>
        <w:rFonts w:ascii="ECSquareSansPro-Medium" w:hAnsi="ECSquareSansPro-Medium" w:cs="ECSquareSansPro-Medium"/>
        <w:color w:val="FFFFFF" w:themeColor="background1"/>
        <w:sz w:val="44"/>
        <w:szCs w:val="44"/>
        <w:lang w:val="en-US"/>
      </w:rPr>
      <w:t xml:space="preserve"> </w:t>
    </w:r>
  </w:p>
  <w:p w14:paraId="07DFAD4C" w14:textId="77777777" w:rsidR="006C034B" w:rsidRDefault="006C034B" w:rsidP="006C034B">
    <w:pPr>
      <w:tabs>
        <w:tab w:val="left" w:pos="6120"/>
        <w:tab w:val="left" w:pos="7575"/>
      </w:tabs>
      <w:rPr>
        <w:color w:val="FF6600"/>
        <w:sz w:val="32"/>
        <w:szCs w:val="32"/>
        <w:lang w:val="en-US"/>
      </w:rPr>
    </w:pPr>
  </w:p>
  <w:p w14:paraId="132B4955" w14:textId="5FF6531F" w:rsidR="004F7BDB" w:rsidRPr="006C034B" w:rsidRDefault="004F7BDB" w:rsidP="006C034B">
    <w:pPr>
      <w:tabs>
        <w:tab w:val="left" w:pos="6120"/>
        <w:tab w:val="left" w:pos="7575"/>
      </w:tabs>
      <w:rPr>
        <w:color w:val="FF6600"/>
        <w:lang w:val="en-US"/>
      </w:rPr>
    </w:pPr>
    <w:r w:rsidRPr="004F7BDB">
      <w:rPr>
        <w:color w:val="FF6600"/>
        <w:sz w:val="32"/>
        <w:szCs w:val="32"/>
        <w:lang w:val="en-US"/>
      </w:rPr>
      <w:t xml:space="preserve">Questionnaire to EuRIC Members </w:t>
    </w:r>
    <w:r w:rsidR="006C034B">
      <w:rPr>
        <w:color w:val="FF6600"/>
        <w:sz w:val="32"/>
        <w:szCs w:val="32"/>
        <w:lang w:val="en-US"/>
      </w:rPr>
      <w:t xml:space="preserve">for input </w:t>
    </w:r>
    <w:r w:rsidR="006C034B">
      <w:rPr>
        <w:color w:val="FF6600"/>
        <w:sz w:val="32"/>
        <w:szCs w:val="32"/>
        <w:lang w:val="en-US"/>
      </w:rPr>
      <w:tab/>
    </w:r>
    <w:r w:rsidR="006C034B">
      <w:rPr>
        <w:color w:val="FF6600"/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ADE"/>
    <w:multiLevelType w:val="hybridMultilevel"/>
    <w:tmpl w:val="886AE8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30A2"/>
    <w:multiLevelType w:val="hybridMultilevel"/>
    <w:tmpl w:val="4B264068"/>
    <w:lvl w:ilvl="0" w:tplc="BA88A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457EB"/>
    <w:multiLevelType w:val="hybridMultilevel"/>
    <w:tmpl w:val="0FA6CDC2"/>
    <w:lvl w:ilvl="0" w:tplc="5B1CAC0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1751">
    <w:abstractNumId w:val="0"/>
  </w:num>
  <w:num w:numId="2" w16cid:durableId="136145080">
    <w:abstractNumId w:val="2"/>
  </w:num>
  <w:num w:numId="3" w16cid:durableId="1685551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BA"/>
    <w:rsid w:val="00032348"/>
    <w:rsid w:val="00091E3C"/>
    <w:rsid w:val="001034C7"/>
    <w:rsid w:val="00135FDB"/>
    <w:rsid w:val="00183793"/>
    <w:rsid w:val="00265264"/>
    <w:rsid w:val="00322105"/>
    <w:rsid w:val="00373363"/>
    <w:rsid w:val="003F3FA7"/>
    <w:rsid w:val="00413392"/>
    <w:rsid w:val="00451528"/>
    <w:rsid w:val="004F7BDB"/>
    <w:rsid w:val="00544F5B"/>
    <w:rsid w:val="00552DF1"/>
    <w:rsid w:val="00695156"/>
    <w:rsid w:val="006C034B"/>
    <w:rsid w:val="006C3433"/>
    <w:rsid w:val="00745DFD"/>
    <w:rsid w:val="00845EBA"/>
    <w:rsid w:val="0086562E"/>
    <w:rsid w:val="00901471"/>
    <w:rsid w:val="00923757"/>
    <w:rsid w:val="00A066EE"/>
    <w:rsid w:val="00A071C2"/>
    <w:rsid w:val="00AE3800"/>
    <w:rsid w:val="00B00BED"/>
    <w:rsid w:val="00B04AD2"/>
    <w:rsid w:val="00B26293"/>
    <w:rsid w:val="00BD7210"/>
    <w:rsid w:val="00C01A2A"/>
    <w:rsid w:val="00C859E3"/>
    <w:rsid w:val="00CE0DDF"/>
    <w:rsid w:val="00CF0E17"/>
    <w:rsid w:val="00E97FF3"/>
    <w:rsid w:val="00EC493A"/>
    <w:rsid w:val="00F22379"/>
    <w:rsid w:val="00FB5517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2DD8A"/>
  <w15:chartTrackingRefBased/>
  <w15:docId w15:val="{9CF0B012-23ED-4348-B5B1-E0B40203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D2"/>
  </w:style>
  <w:style w:type="paragraph" w:styleId="Heading1">
    <w:name w:val="heading 1"/>
    <w:basedOn w:val="Normal"/>
    <w:link w:val="Heading1Char"/>
    <w:uiPriority w:val="9"/>
    <w:qFormat/>
    <w:rsid w:val="00413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B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3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7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7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210"/>
  </w:style>
  <w:style w:type="paragraph" w:styleId="Footer">
    <w:name w:val="footer"/>
    <w:basedOn w:val="Normal"/>
    <w:link w:val="FooterChar"/>
    <w:uiPriority w:val="99"/>
    <w:unhideWhenUsed/>
    <w:rsid w:val="00BD7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210"/>
  </w:style>
  <w:style w:type="paragraph" w:styleId="ListParagraph">
    <w:name w:val="List Paragraph"/>
    <w:basedOn w:val="Normal"/>
    <w:uiPriority w:val="34"/>
    <w:qFormat/>
    <w:rsid w:val="00544F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3392"/>
    <w:rPr>
      <w:rFonts w:ascii="Times New Roman" w:eastAsia="Times New Roman" w:hAnsi="Times New Roman" w:cs="Times New Roman"/>
      <w:b/>
      <w:bCs/>
      <w:kern w:val="36"/>
      <w:sz w:val="48"/>
      <w:szCs w:val="48"/>
      <w:lang w:val="en-BE" w:eastAsia="en-BE"/>
    </w:rPr>
  </w:style>
  <w:style w:type="character" w:customStyle="1" w:styleId="Heading2Char">
    <w:name w:val="Heading 2 Char"/>
    <w:basedOn w:val="DefaultParagraphFont"/>
    <w:link w:val="Heading2"/>
    <w:uiPriority w:val="9"/>
    <w:rsid w:val="004133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37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N.A.</dc:creator>
  <cp:keywords/>
  <dc:description/>
  <cp:lastModifiedBy>Julia Blees</cp:lastModifiedBy>
  <cp:revision>8</cp:revision>
  <dcterms:created xsi:type="dcterms:W3CDTF">2022-06-01T14:23:00Z</dcterms:created>
  <dcterms:modified xsi:type="dcterms:W3CDTF">2022-07-04T09:11:00Z</dcterms:modified>
</cp:coreProperties>
</file>