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CellMar>
          <w:left w:w="10" w:type="dxa"/>
          <w:right w:w="10" w:type="dxa"/>
        </w:tblCellMar>
        <w:tblLook w:val="0000" w:firstRow="0" w:lastRow="0" w:firstColumn="0" w:lastColumn="0" w:noHBand="0" w:noVBand="0"/>
      </w:tblPr>
      <w:tblGrid>
        <w:gridCol w:w="6041"/>
        <w:gridCol w:w="2413"/>
        <w:gridCol w:w="2910"/>
        <w:gridCol w:w="2913"/>
      </w:tblGrid>
      <w:tr w:rsidR="00FD040E">
        <w:tblPrEx>
          <w:tblCellMar>
            <w:top w:w="0" w:type="dxa"/>
            <w:bottom w:w="0" w:type="dxa"/>
          </w:tblCellMar>
        </w:tblPrEx>
        <w:trPr>
          <w:trHeight w:val="700"/>
        </w:trPr>
        <w:tc>
          <w:tcPr>
            <w:tcW w:w="14277" w:type="dxa"/>
            <w:gridSpan w:val="4"/>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D040E" w:rsidRDefault="00000000">
            <w:pPr>
              <w:jc w:val="center"/>
              <w:rPr>
                <w:b/>
                <w:bCs/>
              </w:rPr>
            </w:pPr>
            <w:r>
              <w:rPr>
                <w:b/>
                <w:bCs/>
              </w:rPr>
              <w:t xml:space="preserve">SCHEDA DI CONSULTAZIONE </w:t>
            </w:r>
          </w:p>
          <w:p w:rsidR="00FD040E" w:rsidRDefault="00FD040E">
            <w:pPr>
              <w:jc w:val="center"/>
              <w:rPr>
                <w:b/>
                <w:bCs/>
              </w:rPr>
            </w:pPr>
          </w:p>
          <w:p w:rsidR="00FD040E" w:rsidRDefault="00000000">
            <w:pPr>
              <w:spacing w:after="0" w:line="240" w:lineRule="auto"/>
              <w:rPr>
                <w:b/>
                <w:bCs/>
              </w:rPr>
            </w:pPr>
            <w:r>
              <w:rPr>
                <w:b/>
                <w:bCs/>
              </w:rPr>
              <w:t>LEGENDA</w:t>
            </w:r>
          </w:p>
          <w:p w:rsidR="00FD040E" w:rsidRDefault="00000000">
            <w:pPr>
              <w:pStyle w:val="Paragrafoelenco"/>
              <w:numPr>
                <w:ilvl w:val="0"/>
                <w:numId w:val="1"/>
              </w:numPr>
              <w:spacing w:after="0" w:line="254" w:lineRule="auto"/>
            </w:pPr>
            <w:r>
              <w:t>Inserire nella colonna 2 le modifiche che si propongono all’articolato e agli allegati.</w:t>
            </w:r>
          </w:p>
          <w:p w:rsidR="00FD040E" w:rsidRDefault="00000000">
            <w:pPr>
              <w:pStyle w:val="Paragrafoelenco"/>
              <w:numPr>
                <w:ilvl w:val="0"/>
                <w:numId w:val="1"/>
              </w:numPr>
              <w:spacing w:after="0" w:line="254" w:lineRule="auto"/>
              <w:jc w:val="both"/>
            </w:pPr>
            <w:r>
              <w:t>Le proposte di modifiche inserite nella colonna 2 devono essere motivate nella colonna 3 “Osservazioni/motivazioni”.</w:t>
            </w:r>
          </w:p>
          <w:p w:rsidR="00FD040E" w:rsidRDefault="00000000">
            <w:pPr>
              <w:pStyle w:val="Paragrafoelenco"/>
              <w:numPr>
                <w:ilvl w:val="0"/>
                <w:numId w:val="1"/>
              </w:numPr>
              <w:spacing w:after="0" w:line="254" w:lineRule="auto"/>
              <w:jc w:val="both"/>
            </w:pPr>
            <w:r>
              <w:t>In riferimento all’allegato 2 tabella 5-Norme tecniche per l'utilizzo dell'aggregato recuperato-si potranno inserire  (in colonna 2) specifiche norme tecniche ed integrare e/o modificare quelle presenti.</w:t>
            </w:r>
          </w:p>
          <w:p w:rsidR="00FD040E" w:rsidRDefault="00000000">
            <w:pPr>
              <w:pStyle w:val="Paragrafoelenco"/>
              <w:numPr>
                <w:ilvl w:val="0"/>
                <w:numId w:val="1"/>
              </w:numPr>
              <w:spacing w:after="0" w:line="254" w:lineRule="auto"/>
              <w:jc w:val="both"/>
            </w:pPr>
            <w:bookmarkStart w:id="0" w:name="_Hlk132979421"/>
            <w:r>
              <w:t xml:space="preserve">Trasmettere il file finale (via PEC) ai seguenti indirizzi mail: </w:t>
            </w:r>
            <w:hyperlink r:id="rId7" w:history="1">
              <w:r>
                <w:rPr>
                  <w:rStyle w:val="Collegamentoipertestuale"/>
                </w:rPr>
                <w:t>DISS@pec.mite. gov.it</w:t>
              </w:r>
            </w:hyperlink>
            <w:r>
              <w:t xml:space="preserve">; </w:t>
            </w:r>
            <w:hyperlink r:id="rId8" w:history="1">
              <w:r>
                <w:rPr>
                  <w:rStyle w:val="Collegamentoipertestuale"/>
                </w:rPr>
                <w:t>EC@pec.mite.gov.it</w:t>
              </w:r>
            </w:hyperlink>
            <w:r>
              <w:t>.</w:t>
            </w:r>
          </w:p>
          <w:p w:rsidR="00FD040E" w:rsidRDefault="00FD040E">
            <w:pPr>
              <w:pStyle w:val="Paragrafoelenco"/>
              <w:spacing w:after="0" w:line="240" w:lineRule="auto"/>
              <w:jc w:val="both"/>
            </w:pPr>
          </w:p>
          <w:p w:rsidR="00FD040E" w:rsidRDefault="00000000">
            <w:pPr>
              <w:spacing w:after="0" w:line="240" w:lineRule="auto"/>
            </w:pPr>
            <w:r>
              <w:t xml:space="preserve">E’ possibile visionare altresì il Decreto Ministeriale oggi in vigore al seguente link della gazzetta ufficiale: </w:t>
            </w:r>
            <w:r>
              <w:rPr>
                <w:color w:val="0000FF"/>
                <w:u w:val="single"/>
              </w:rPr>
              <w:t>https://www.gazzettaufficiale.it/eli/id/2022/10/20/22G00163/sg</w:t>
            </w:r>
          </w:p>
          <w:bookmarkEnd w:id="0"/>
          <w:p w:rsidR="00FD040E" w:rsidRDefault="00FD040E">
            <w:pPr>
              <w:spacing w:after="0" w:line="240" w:lineRule="auto"/>
              <w:jc w:val="center"/>
              <w:rPr>
                <w:rFonts w:ascii="Times New Roman" w:hAnsi="Times New Roman"/>
                <w:b/>
                <w:sz w:val="20"/>
                <w:szCs w:val="20"/>
              </w:rPr>
            </w:pPr>
          </w:p>
        </w:tc>
      </w:tr>
      <w:tr w:rsidR="00FD040E">
        <w:tblPrEx>
          <w:tblCellMar>
            <w:top w:w="0" w:type="dxa"/>
            <w:bottom w:w="0" w:type="dxa"/>
          </w:tblCellMar>
        </w:tblPrEx>
        <w:trPr>
          <w:trHeight w:val="700"/>
        </w:trPr>
        <w:tc>
          <w:tcPr>
            <w:tcW w:w="604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D040E" w:rsidRDefault="00000000">
            <w:pPr>
              <w:spacing w:after="0" w:line="240" w:lineRule="auto"/>
              <w:jc w:val="center"/>
              <w:rPr>
                <w:rFonts w:ascii="Times New Roman" w:hAnsi="Times New Roman"/>
                <w:b/>
                <w:sz w:val="20"/>
                <w:szCs w:val="20"/>
              </w:rPr>
            </w:pPr>
            <w:r>
              <w:rPr>
                <w:rFonts w:ascii="Times New Roman" w:hAnsi="Times New Roman"/>
                <w:b/>
                <w:sz w:val="20"/>
                <w:szCs w:val="20"/>
              </w:rPr>
              <w:t>Articolo di riferimento</w:t>
            </w:r>
          </w:p>
        </w:tc>
        <w:tc>
          <w:tcPr>
            <w:tcW w:w="241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D040E" w:rsidRDefault="00000000">
            <w:pPr>
              <w:spacing w:after="0" w:line="240" w:lineRule="auto"/>
              <w:jc w:val="center"/>
              <w:rPr>
                <w:rFonts w:ascii="Times New Roman" w:hAnsi="Times New Roman"/>
                <w:b/>
                <w:sz w:val="20"/>
                <w:szCs w:val="20"/>
              </w:rPr>
            </w:pPr>
            <w:r>
              <w:rPr>
                <w:rFonts w:ascii="Times New Roman" w:hAnsi="Times New Roman"/>
                <w:b/>
                <w:sz w:val="20"/>
                <w:szCs w:val="20"/>
              </w:rPr>
              <w:t>Proposta di modifica/integrazione</w:t>
            </w:r>
          </w:p>
          <w:p w:rsidR="00FD040E" w:rsidRDefault="00000000">
            <w:pPr>
              <w:spacing w:after="0" w:line="240" w:lineRule="auto"/>
              <w:jc w:val="center"/>
              <w:rPr>
                <w:rFonts w:ascii="Times New Roman" w:hAnsi="Times New Roman"/>
                <w:bCs/>
                <w:i/>
                <w:iCs/>
                <w:sz w:val="20"/>
                <w:szCs w:val="20"/>
              </w:rPr>
            </w:pPr>
            <w:r>
              <w:rPr>
                <w:rFonts w:ascii="Times New Roman" w:hAnsi="Times New Roman"/>
                <w:bCs/>
                <w:i/>
                <w:iCs/>
                <w:sz w:val="20"/>
                <w:szCs w:val="20"/>
              </w:rPr>
              <w:t>(inserire proposte di modifica al testo dell’articolato, in maniera puntuale e concisa)</w:t>
            </w:r>
          </w:p>
        </w:tc>
        <w:tc>
          <w:tcPr>
            <w:tcW w:w="291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D040E" w:rsidRDefault="00000000">
            <w:pPr>
              <w:spacing w:after="0" w:line="240" w:lineRule="auto"/>
              <w:jc w:val="center"/>
              <w:rPr>
                <w:rFonts w:ascii="Times New Roman" w:hAnsi="Times New Roman"/>
                <w:b/>
                <w:sz w:val="20"/>
                <w:szCs w:val="20"/>
              </w:rPr>
            </w:pPr>
            <w:r>
              <w:rPr>
                <w:rFonts w:ascii="Times New Roman" w:hAnsi="Times New Roman"/>
                <w:b/>
                <w:sz w:val="20"/>
                <w:szCs w:val="20"/>
              </w:rPr>
              <w:t>Osservazioni/motivazioni</w:t>
            </w:r>
          </w:p>
          <w:p w:rsidR="00FD040E" w:rsidRDefault="00000000">
            <w:pPr>
              <w:spacing w:after="0" w:line="240" w:lineRule="auto"/>
              <w:jc w:val="center"/>
              <w:rPr>
                <w:rFonts w:ascii="Times New Roman" w:hAnsi="Times New Roman"/>
                <w:bCs/>
                <w:i/>
                <w:iCs/>
                <w:sz w:val="20"/>
                <w:szCs w:val="20"/>
              </w:rPr>
            </w:pPr>
            <w:r>
              <w:rPr>
                <w:rFonts w:ascii="Times New Roman" w:hAnsi="Times New Roman"/>
                <w:bCs/>
                <w:i/>
                <w:iCs/>
                <w:sz w:val="20"/>
                <w:szCs w:val="20"/>
              </w:rPr>
              <w:t>(inserire osservazioni o motivazioni a supporto delle modifiche proposte; max. 150 parole)</w:t>
            </w:r>
          </w:p>
        </w:tc>
        <w:tc>
          <w:tcPr>
            <w:tcW w:w="291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D040E" w:rsidRDefault="00FD040E">
            <w:pPr>
              <w:spacing w:after="0" w:line="240" w:lineRule="auto"/>
              <w:jc w:val="center"/>
              <w:rPr>
                <w:rFonts w:ascii="Times New Roman" w:hAnsi="Times New Roman"/>
                <w:b/>
                <w:sz w:val="20"/>
                <w:szCs w:val="20"/>
              </w:rPr>
            </w:pPr>
          </w:p>
          <w:p w:rsidR="00FD040E" w:rsidRDefault="00000000">
            <w:pPr>
              <w:spacing w:after="0" w:line="240" w:lineRule="auto"/>
              <w:jc w:val="center"/>
              <w:rPr>
                <w:rFonts w:ascii="Times New Roman" w:hAnsi="Times New Roman"/>
                <w:b/>
                <w:sz w:val="20"/>
                <w:szCs w:val="20"/>
              </w:rPr>
            </w:pPr>
            <w:r>
              <w:rPr>
                <w:rFonts w:ascii="Times New Roman" w:hAnsi="Times New Roman"/>
                <w:b/>
                <w:sz w:val="20"/>
                <w:szCs w:val="20"/>
              </w:rPr>
              <w:t>Eventuali altre note</w:t>
            </w:r>
          </w:p>
          <w:p w:rsidR="00FD040E" w:rsidRDefault="00000000">
            <w:pPr>
              <w:spacing w:after="0" w:line="240" w:lineRule="auto"/>
              <w:jc w:val="center"/>
            </w:pPr>
            <w:r>
              <w:rPr>
                <w:rFonts w:ascii="Times New Roman" w:hAnsi="Times New Roman"/>
                <w:bCs/>
                <w:i/>
                <w:iCs/>
                <w:sz w:val="20"/>
                <w:szCs w:val="20"/>
              </w:rPr>
              <w:t>(max 10 parole)</w:t>
            </w:r>
          </w:p>
          <w:p w:rsidR="00FD040E" w:rsidRDefault="00FD040E">
            <w:pPr>
              <w:spacing w:after="0" w:line="240" w:lineRule="auto"/>
              <w:jc w:val="center"/>
              <w:rPr>
                <w:rFonts w:ascii="Times New Roman" w:hAnsi="Times New Roman"/>
                <w:b/>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b/>
                <w:bCs/>
                <w:sz w:val="20"/>
                <w:szCs w:val="20"/>
              </w:rPr>
            </w:pPr>
            <w:r>
              <w:rPr>
                <w:rFonts w:ascii="Baskerville Old Face" w:hAnsi="Baskerville Old Face" w:cs="Calibri"/>
                <w:b/>
                <w:bCs/>
                <w:sz w:val="20"/>
                <w:szCs w:val="20"/>
              </w:rPr>
              <w:t>Articolo 1</w:t>
            </w:r>
          </w:p>
          <w:p w:rsidR="00FD040E" w:rsidRDefault="00000000">
            <w:pPr>
              <w:spacing w:before="120" w:after="120" w:line="240" w:lineRule="auto"/>
              <w:jc w:val="both"/>
              <w:rPr>
                <w:rFonts w:ascii="Baskerville Old Face" w:hAnsi="Baskerville Old Face" w:cs="Calibri"/>
                <w:b/>
                <w:bCs/>
                <w:sz w:val="20"/>
                <w:szCs w:val="20"/>
              </w:rPr>
            </w:pPr>
            <w:r>
              <w:rPr>
                <w:rFonts w:ascii="Baskerville Old Face" w:hAnsi="Baskerville Old Face" w:cs="Calibri"/>
                <w:b/>
                <w:bCs/>
                <w:sz w:val="20"/>
                <w:szCs w:val="20"/>
              </w:rPr>
              <w:t>Oggetto e finalità</w:t>
            </w:r>
          </w:p>
          <w:p w:rsidR="00FD040E" w:rsidRDefault="00000000">
            <w:pPr>
              <w:spacing w:after="0" w:line="240" w:lineRule="auto"/>
              <w:jc w:val="both"/>
            </w:pPr>
            <w:r>
              <w:rPr>
                <w:rFonts w:ascii="Baskerville Old Face" w:hAnsi="Baskerville Old Face" w:cs="Calibri"/>
                <w:sz w:val="20"/>
                <w:szCs w:val="20"/>
              </w:rPr>
              <w:t>1. Il presente regolamento stabilisce i criteri specifici nel rispetto dei quali i rifiuti inerti dalle attività di costruzione e di demolizione e gli altri rifiuti inerti di origine minerale di cui all'articolo 2, comma 1, lettere a) e b), sottoposti a operazioni di recupero, cessano di essere qualificati come rifiuti ai sensi dell'articolo 184-ter del decreto legislativo 3 aprile 2006, n. 152. In via preferenziale, i rifiuti ammessi alla produzione di aggregati recuperati provengono da manufatti sottoposti a demolizione selettiva..</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after="0" w:line="240" w:lineRule="auto"/>
              <w:jc w:val="both"/>
            </w:pPr>
            <w:r>
              <w:rPr>
                <w:rFonts w:ascii="Baskerville Old Face" w:hAnsi="Baskerville Old Face" w:cs="Calibri"/>
                <w:sz w:val="20"/>
                <w:szCs w:val="20"/>
              </w:rPr>
              <w:t>2. In conformità a quanto previsto dall'articolo 184-ter, comma 3, del decreto legislativo n. 152 del 2006, le operazioni di recupero aventi a oggetto rifiuti non elencati all'allegato 1, tabella 1, punti 1 e 2, del presente regolamento finalizzate alla cessazione della qualifica di rifiuto sono soggette al rilascio o al rinnovo delle autorizzazioni di cui agli articoli 208, 209 e 211 e di cui al Titolo III-bis della Parte seconda del medesimo decreto legislativo n. 152 del 2006.</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b/>
                <w:bCs/>
                <w:sz w:val="20"/>
                <w:szCs w:val="20"/>
              </w:rPr>
            </w:pPr>
            <w:r>
              <w:rPr>
                <w:rFonts w:ascii="Baskerville Old Face" w:hAnsi="Baskerville Old Face" w:cs="Calibri"/>
                <w:b/>
                <w:bCs/>
                <w:sz w:val="20"/>
                <w:szCs w:val="20"/>
              </w:rPr>
              <w:t>Articolo 2</w:t>
            </w:r>
          </w:p>
          <w:p w:rsidR="00FD040E" w:rsidRDefault="00000000">
            <w:pPr>
              <w:spacing w:before="120" w:after="120" w:line="240" w:lineRule="auto"/>
              <w:jc w:val="both"/>
              <w:rPr>
                <w:rFonts w:ascii="Baskerville Old Face" w:hAnsi="Baskerville Old Face" w:cs="Calibri"/>
                <w:b/>
                <w:bCs/>
                <w:sz w:val="20"/>
                <w:szCs w:val="20"/>
              </w:rPr>
            </w:pPr>
            <w:r>
              <w:rPr>
                <w:rFonts w:ascii="Baskerville Old Face" w:hAnsi="Baskerville Old Face" w:cs="Calibri"/>
                <w:b/>
                <w:bCs/>
                <w:sz w:val="20"/>
                <w:szCs w:val="20"/>
              </w:rPr>
              <w:lastRenderedPageBreak/>
              <w:t>Definizioni</w:t>
            </w:r>
          </w:p>
          <w:p w:rsidR="00FD040E" w:rsidRDefault="00000000">
            <w:pPr>
              <w:spacing w:after="0" w:line="240" w:lineRule="auto"/>
              <w:jc w:val="both"/>
            </w:pPr>
            <w:r>
              <w:rPr>
                <w:rFonts w:ascii="Baskerville Old Face" w:hAnsi="Baskerville Old Face" w:cs="Calibri"/>
                <w:sz w:val="20"/>
                <w:szCs w:val="20"/>
              </w:rPr>
              <w:t>1. Ai fini del presente regolamento si applicano le definizioni di cui all'articolo 183 del decreto legislativo n. 152 del 2006, nonché le seguenti:</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after="0" w:line="240" w:lineRule="auto"/>
              <w:jc w:val="both"/>
            </w:pPr>
            <w:r>
              <w:rPr>
                <w:rFonts w:ascii="Baskerville Old Face" w:hAnsi="Baskerville Old Face" w:cs="Calibri"/>
                <w:sz w:val="20"/>
                <w:szCs w:val="20"/>
              </w:rPr>
              <w:t xml:space="preserve">a) "rifiuti inerti dalle attività di costruzione e demolizione": i rifiuti derivanti dalle operazioni di costruzione e demolizione identificati al capitolo 17 dell'elenco europeo dei rifiuti di cui alla decisione della Commissione 2000/532/Ce del 3 maggio 2000, e indicati al punto 1 della tabella 1 dell'allegato 1 al presente regolamento; </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after="0" w:line="240" w:lineRule="auto"/>
              <w:jc w:val="both"/>
            </w:pPr>
            <w:r>
              <w:rPr>
                <w:rFonts w:ascii="Baskerville Old Face" w:hAnsi="Baskerville Old Face" w:cs="Calibri"/>
                <w:sz w:val="20"/>
                <w:szCs w:val="20"/>
              </w:rPr>
              <w:t>b) "altri rifiuti inerti di origine minerale": i rifiuti non appartenenti al capitolo 17 dell'elenco europeo dei rifiuti di cui alla decisione della Commissione 2000/532/Ce e indicati al punto 2 della tabella 1 dell'allegato 1 al presente regolamento;</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after="0" w:line="240" w:lineRule="auto"/>
              <w:jc w:val="both"/>
            </w:pPr>
            <w:r>
              <w:rPr>
                <w:rFonts w:ascii="Baskerville Old Face" w:hAnsi="Baskerville Old Face" w:cs="Calibri"/>
                <w:sz w:val="20"/>
                <w:szCs w:val="20"/>
              </w:rPr>
              <w:t>c) "rifiuti inerti": i rifiuti solidi dalle attività di costruzione e demolizione e altri rifiuti inerti di origine minerale che non subiscono alcuna trasformazione fisica, chimica o biologica significativa; i rifiuti inerti non si dissolvono, non bruciano né sono soggetti ad altre reazioni fisiche o chimiche, non sono biodegradabili e, in caso di contatto con altre materie, non comportano effetti nocivi tali da provocare inquinamento ambientale o danno alla salute umana;</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color w:val="000000"/>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after="0" w:line="240" w:lineRule="auto"/>
              <w:jc w:val="both"/>
            </w:pPr>
            <w:r>
              <w:rPr>
                <w:rFonts w:ascii="Baskerville Old Face" w:hAnsi="Baskerville Old Face" w:cs="Calibri"/>
                <w:sz w:val="20"/>
                <w:szCs w:val="20"/>
              </w:rPr>
              <w:t>c-bis) “aggregato riciclato”: aggregato risultante dalla lavorazione di materiale inorganico precedentemente utilizzato nelle costruzioni;</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b/>
                <w:color w:val="000000"/>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pStyle w:val="Paragrafoelenco"/>
              <w:spacing w:after="0" w:line="240" w:lineRule="auto"/>
              <w:ind w:left="22"/>
              <w:jc w:val="both"/>
            </w:pPr>
            <w:r>
              <w:rPr>
                <w:rFonts w:ascii="Baskerville Old Face" w:hAnsi="Baskerville Old Face" w:cs="Calibri"/>
                <w:sz w:val="20"/>
                <w:szCs w:val="20"/>
              </w:rPr>
              <w:t>c-ter) “aggregato artificiale”: aggregato di origine minerale derivante da un processo industriale che implica una modificazione termica o di altro tipo;</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b/>
                <w:color w:val="000000"/>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after="0" w:line="240" w:lineRule="auto"/>
              <w:jc w:val="both"/>
            </w:pPr>
            <w:r>
              <w:rPr>
                <w:rFonts w:ascii="Baskerville Old Face" w:hAnsi="Baskerville Old Face" w:cs="Calibri"/>
                <w:sz w:val="20"/>
                <w:szCs w:val="20"/>
              </w:rPr>
              <w:t>d) "aggregato recuperato": aggregato riciclato o artificiale prodotto dai rifiuti di cui alle lettere a) e b) che hanno cessato di essere tali a seguito di una o più operazioni di recupero nel rispetto delle condizioni di cui all'articolo 184-ter, comma 1, del decreto legislativo n. 152 del 2006, e delle disposizioni del presente regolamento;</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after="0" w:line="240" w:lineRule="auto"/>
            </w:pPr>
            <w:r>
              <w:rPr>
                <w:rFonts w:ascii="Baskerville Old Face" w:hAnsi="Baskerville Old Face" w:cs="Calibri"/>
                <w:sz w:val="20"/>
                <w:szCs w:val="20"/>
              </w:rPr>
              <w:t>e) "lotto di aggregato recuperato": un quantitativo non superiore ai 3.000 metri cubi di aggregato recuperato;</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color w:val="000000"/>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rPr>
          <w:trHeight w:val="726"/>
        </w:trPr>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after="0" w:line="240" w:lineRule="auto"/>
              <w:jc w:val="both"/>
            </w:pPr>
            <w:r>
              <w:rPr>
                <w:rFonts w:ascii="Baskerville Old Face" w:hAnsi="Baskerville Old Face" w:cs="Calibri"/>
                <w:sz w:val="20"/>
                <w:szCs w:val="20"/>
              </w:rPr>
              <w:t>f) "produttore di aggregato recuperato" o "produttore": il gestore dell'impianto autorizzato per la produzione di aggregato recuperato;</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after="0" w:line="240" w:lineRule="auto"/>
              <w:jc w:val="both"/>
            </w:pPr>
            <w:r>
              <w:rPr>
                <w:rFonts w:ascii="Baskerville Old Face" w:hAnsi="Baskerville Old Face" w:cs="Calibri"/>
                <w:sz w:val="20"/>
                <w:szCs w:val="20"/>
              </w:rPr>
              <w:t>g) "dichiarazione di conformità": la dichiarazione sostitutiva dell'atto di notorietà rilasciata dal produttore attestante le caratteristiche dell'aggregato recuperato, di cui all'articolo 5;</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after="0" w:line="240" w:lineRule="auto"/>
              <w:jc w:val="both"/>
            </w:pPr>
            <w:r>
              <w:rPr>
                <w:rFonts w:ascii="Baskerville Old Face" w:hAnsi="Baskerville Old Face" w:cs="Calibri"/>
                <w:sz w:val="20"/>
                <w:szCs w:val="20"/>
              </w:rPr>
              <w:t>h) "autorità competente": l'autorità che rilascia l'autorizzazione ai sensi del Titolo III-bis della Parte II o del Titolo I, Capo IV, della Parte IV del decreto legislativo n. 152 del 2006 , ovvero l'autorità destinataria della comunicazione di cui all'articolo 216 del medesimo decreto legislativo.</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b/>
                <w:bCs/>
                <w:sz w:val="20"/>
                <w:szCs w:val="20"/>
              </w:rPr>
            </w:pPr>
            <w:bookmarkStart w:id="1" w:name="_Hlk132891219"/>
            <w:r>
              <w:rPr>
                <w:rFonts w:ascii="Baskerville Old Face" w:hAnsi="Baskerville Old Face" w:cs="Calibri"/>
                <w:b/>
                <w:bCs/>
                <w:sz w:val="20"/>
                <w:szCs w:val="20"/>
              </w:rPr>
              <w:lastRenderedPageBreak/>
              <w:t>Articolo 3 Criteri ai fini della cessazione della qualifica di rifiuto</w:t>
            </w:r>
          </w:p>
          <w:p w:rsidR="00FD040E" w:rsidRDefault="00000000">
            <w:pPr>
              <w:spacing w:after="0" w:line="240" w:lineRule="auto"/>
              <w:jc w:val="both"/>
            </w:pPr>
            <w:r>
              <w:rPr>
                <w:rFonts w:ascii="Baskerville Old Face" w:hAnsi="Baskerville Old Face" w:cs="Calibri"/>
                <w:sz w:val="20"/>
                <w:szCs w:val="20"/>
              </w:rPr>
              <w:t>1. Ai fini dell'articolo 1 e ai sensi dell'articolo 184-ter del decreto legislativo n. 152 del 2006, i rifiuti inerti dalle attività di costruzione e demolizione e gli altri rifiuti inerti di origine minerale, come definiti ai sensi dell'articolo 2, comma 1, lettere a) e b), del presente regolamento, cessano di essere qualificati come rifiuti e sono qualificati come aggregato recuperato se l'aggregato recuperato è conforme ai criteri di cui all'allegato 1.</w:t>
            </w:r>
            <w:bookmarkEnd w:id="1"/>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b/>
                <w:bCs/>
                <w:sz w:val="20"/>
                <w:szCs w:val="20"/>
              </w:rPr>
            </w:pPr>
            <w:bookmarkStart w:id="2" w:name="_Hlk132891235"/>
            <w:r>
              <w:rPr>
                <w:rFonts w:ascii="Baskerville Old Face" w:hAnsi="Baskerville Old Face" w:cs="Calibri"/>
                <w:b/>
                <w:bCs/>
                <w:sz w:val="20"/>
                <w:szCs w:val="20"/>
              </w:rPr>
              <w:t>Articolo 4</w:t>
            </w:r>
          </w:p>
          <w:p w:rsidR="00FD040E" w:rsidRDefault="00000000">
            <w:pPr>
              <w:spacing w:before="120" w:after="120" w:line="240" w:lineRule="auto"/>
              <w:jc w:val="both"/>
              <w:rPr>
                <w:rFonts w:ascii="Baskerville Old Face" w:hAnsi="Baskerville Old Face" w:cs="Calibri"/>
                <w:b/>
                <w:bCs/>
                <w:sz w:val="20"/>
                <w:szCs w:val="20"/>
              </w:rPr>
            </w:pPr>
            <w:r>
              <w:rPr>
                <w:rFonts w:ascii="Baskerville Old Face" w:hAnsi="Baskerville Old Face" w:cs="Calibri"/>
                <w:b/>
                <w:bCs/>
                <w:sz w:val="20"/>
                <w:szCs w:val="20"/>
              </w:rPr>
              <w:t>Scopi specifici di utilizzabilità</w:t>
            </w:r>
          </w:p>
          <w:p w:rsidR="00FD040E" w:rsidRDefault="00000000">
            <w:pPr>
              <w:spacing w:after="0" w:line="240" w:lineRule="auto"/>
              <w:jc w:val="both"/>
            </w:pPr>
            <w:r>
              <w:rPr>
                <w:rFonts w:ascii="Baskerville Old Face" w:hAnsi="Baskerville Old Face" w:cs="Calibri"/>
                <w:sz w:val="20"/>
                <w:szCs w:val="20"/>
              </w:rPr>
              <w:t>1. L'aggregato recuperato è utilizzabile esclusivamente per gli scopi specifici elencati nell'allegato 2.</w:t>
            </w:r>
            <w:bookmarkEnd w:id="2"/>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b/>
                <w:bCs/>
                <w:sz w:val="20"/>
                <w:szCs w:val="20"/>
              </w:rPr>
            </w:pPr>
            <w:bookmarkStart w:id="3" w:name="_Hlk132891252"/>
            <w:r>
              <w:rPr>
                <w:rFonts w:ascii="Baskerville Old Face" w:hAnsi="Baskerville Old Face" w:cs="Calibri"/>
                <w:b/>
                <w:bCs/>
                <w:sz w:val="20"/>
                <w:szCs w:val="20"/>
              </w:rPr>
              <w:t>Articolo 5</w:t>
            </w:r>
          </w:p>
          <w:p w:rsidR="00FD040E" w:rsidRDefault="00000000">
            <w:pPr>
              <w:spacing w:before="120" w:after="120" w:line="240" w:lineRule="auto"/>
              <w:jc w:val="both"/>
              <w:rPr>
                <w:rFonts w:ascii="Baskerville Old Face" w:hAnsi="Baskerville Old Face" w:cs="Calibri"/>
                <w:b/>
                <w:bCs/>
                <w:sz w:val="20"/>
                <w:szCs w:val="20"/>
              </w:rPr>
            </w:pPr>
            <w:r>
              <w:rPr>
                <w:rFonts w:ascii="Baskerville Old Face" w:hAnsi="Baskerville Old Face" w:cs="Calibri"/>
                <w:b/>
                <w:bCs/>
                <w:sz w:val="20"/>
                <w:szCs w:val="20"/>
              </w:rPr>
              <w:t>Dichiarazione di conformità e modalità di detenzione dei campioni</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1. In conformità a quanto previsto dagli articoli 184, comma 5, 188, comma 4, e 193 del decreto legislativo n.152 del 2006, il produttore del rifiuto destinato alla produzione di aggregato recuperato è responsabile della corretta attribuzione dei codici dei rifiuti e delle caratteristiche di pericolo dei rifiuti, nonché della compilazione del formulario di identificazione del rifiuto (Fir).</w:t>
            </w:r>
            <w:bookmarkEnd w:id="3"/>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after="0" w:line="240" w:lineRule="auto"/>
              <w:jc w:val="both"/>
            </w:pPr>
            <w:bookmarkStart w:id="4" w:name="_Hlk132891277"/>
            <w:r>
              <w:rPr>
                <w:rFonts w:ascii="Baskerville Old Face" w:hAnsi="Baskerville Old Face" w:cs="Calibri"/>
                <w:sz w:val="20"/>
                <w:szCs w:val="20"/>
              </w:rPr>
              <w:t xml:space="preserve">2. Il rispetto dei criteri di cui all'articolo 3 è attestato dal produttore di aggregato recuperato mediante dichiarazione sostitutiva di atto di notorietà ai sensi dell'articolo 47 del decreto del Presidente della Repubblica 28 dicembre 2000, n. 445, redatta per </w:t>
            </w:r>
            <w:r>
              <w:rPr>
                <w:rFonts w:ascii="Baskerville Old Face" w:hAnsi="Baskerville Old Face" w:cs="Calibri"/>
                <w:sz w:val="20"/>
                <w:szCs w:val="20"/>
                <w:u w:val="single"/>
              </w:rPr>
              <w:t>ciascun lotto</w:t>
            </w:r>
            <w:r>
              <w:rPr>
                <w:rFonts w:ascii="Baskerville Old Face" w:hAnsi="Baskerville Old Face" w:cs="Calibri"/>
                <w:sz w:val="20"/>
                <w:szCs w:val="20"/>
              </w:rPr>
              <w:t xml:space="preserve"> di aggregato recuperato prodotto. Ogni sei mesi, il produttore di aggregato recuperato invia all’Autorità competente e all’Agenzia regionale per la protezione dell’ambiente territorialmente competente le dichiarazioni sostitutive redatte per ciascun lotto nel semestre precedente. La dichiarazione sostitutiva è redatta utilizzando il modulo di cui all’Allegato 3 ed è inviata con una delle modalità di cui all’articolo 65 del decreto legislativo 7 marzo 2005, n. 82.</w:t>
            </w:r>
            <w:bookmarkEnd w:id="4"/>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after="0" w:line="240" w:lineRule="auto"/>
              <w:jc w:val="both"/>
            </w:pPr>
            <w:bookmarkStart w:id="5" w:name="_Hlk132891297"/>
            <w:r>
              <w:rPr>
                <w:rFonts w:ascii="Baskerville Old Face" w:hAnsi="Baskerville Old Face" w:cs="Calibri"/>
                <w:sz w:val="20"/>
                <w:szCs w:val="20"/>
              </w:rPr>
              <w:t>3. Il produttore di aggregato recuperato conserva per cinque anni a far data dall’invio all’Autorità Competente, presso l'impianto di produzione o presso la propria sede legale, copia della dichiarazione di cui al comma 2, anche in formato elettronico, mettendola a disposizione delle autorità di controllo che la richiedono.</w:t>
            </w:r>
            <w:bookmarkEnd w:id="5"/>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sz w:val="20"/>
                <w:szCs w:val="20"/>
              </w:rPr>
            </w:pPr>
            <w:bookmarkStart w:id="6" w:name="_Hlk132891321"/>
            <w:r>
              <w:rPr>
                <w:rFonts w:ascii="Baskerville Old Face" w:hAnsi="Baskerville Old Face" w:cs="Calibri"/>
                <w:sz w:val="20"/>
                <w:szCs w:val="20"/>
              </w:rPr>
              <w:lastRenderedPageBreak/>
              <w:t>4. Ai fini della dimostrazione della sussistenza dei criteri di cui all’articolo 3, il produttore di aggregato recuperato preleva un campione da ogni lotto di aggregato prodotto in conformità alla norma UNI 10802 anche avvalendosi delle modalità di campionamento dei rifiuti da costruzione di cui alla norma UNI/TR 11682. Tali campioni sono conservati presso l’impianto di produzione o presso la propria sede legale per un anno a far data dall’invio periodico cumulativo delle dichiarazioni di cui al comma 2 che ne attesta la relativa produzione. Per le verifiche di conformità e idoneità di cui alla Tabella 5, il campione per ciascun lotto di aggregato recuperato deve essere prelevato in conformità alla norma UNI 932- 1. Le modalità di conservazione del campione sono tali da garantire la non alterazione delle caratteristiche chimico-fisiche dell’aggregato recuperato prelevato e idonee a consentire la ripetizione delle analisi.</w:t>
            </w:r>
            <w:bookmarkEnd w:id="6"/>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b/>
                <w:bCs/>
                <w:sz w:val="20"/>
                <w:szCs w:val="20"/>
              </w:rPr>
            </w:pPr>
            <w:bookmarkStart w:id="7" w:name="_Hlk132891338"/>
            <w:r>
              <w:rPr>
                <w:rFonts w:ascii="Baskerville Old Face" w:hAnsi="Baskerville Old Face" w:cs="Calibri"/>
                <w:b/>
                <w:bCs/>
                <w:sz w:val="20"/>
                <w:szCs w:val="20"/>
              </w:rPr>
              <w:t>Articolo 6</w:t>
            </w:r>
          </w:p>
          <w:p w:rsidR="00FD040E" w:rsidRDefault="00000000">
            <w:pPr>
              <w:spacing w:before="120" w:after="120" w:line="240" w:lineRule="auto"/>
              <w:jc w:val="both"/>
              <w:rPr>
                <w:rFonts w:ascii="Baskerville Old Face" w:hAnsi="Baskerville Old Face" w:cs="Calibri"/>
                <w:b/>
                <w:bCs/>
                <w:sz w:val="20"/>
                <w:szCs w:val="20"/>
              </w:rPr>
            </w:pPr>
            <w:r>
              <w:rPr>
                <w:rFonts w:ascii="Baskerville Old Face" w:hAnsi="Baskerville Old Face" w:cs="Calibri"/>
                <w:b/>
                <w:bCs/>
                <w:sz w:val="20"/>
                <w:szCs w:val="20"/>
              </w:rPr>
              <w:t>Sistema di gestione</w:t>
            </w:r>
          </w:p>
          <w:p w:rsidR="00FD040E" w:rsidRDefault="00000000">
            <w:pPr>
              <w:spacing w:after="0" w:line="240" w:lineRule="auto"/>
              <w:jc w:val="both"/>
            </w:pPr>
            <w:r>
              <w:rPr>
                <w:rFonts w:ascii="Baskerville Old Face" w:hAnsi="Baskerville Old Face" w:cs="Calibri"/>
                <w:sz w:val="20"/>
                <w:szCs w:val="20"/>
              </w:rPr>
              <w:t>1. Il produttore di aggregato recuperato si dota di un sistema di gestione atto a dimostrare il rispetto dei criteri di cui al presente regolamento, compresi il controllo della qualità, l’automonitoraggio e l’accreditamento, se del caso.</w:t>
            </w:r>
            <w:bookmarkEnd w:id="7"/>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after="0" w:line="240" w:lineRule="auto"/>
              <w:jc w:val="both"/>
            </w:pPr>
            <w:bookmarkStart w:id="8" w:name="_Hlk132891351"/>
            <w:r>
              <w:rPr>
                <w:rFonts w:ascii="Baskerville Old Face" w:hAnsi="Baskerville Old Face" w:cs="Calibri"/>
                <w:sz w:val="20"/>
                <w:szCs w:val="20"/>
              </w:rPr>
              <w:t>2. Le disposizioni di cui all’articolo 5, comma 4, non si applicano alle imprese registrate ai sensi del regolamento (CE) n. 1221/2009 del Parlamento europeo e del Consiglio, del 25 novembre 2009, e alle imprese in possesso della certificazione ambientale UNI EN ISO 14001, rilasciata da organismo accreditato ai sensi della normativa vigente.</w:t>
            </w:r>
            <w:bookmarkEnd w:id="8"/>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b/>
                <w:bCs/>
                <w:sz w:val="20"/>
                <w:szCs w:val="20"/>
              </w:rPr>
            </w:pPr>
            <w:bookmarkStart w:id="9" w:name="_Hlk132891367"/>
            <w:r>
              <w:rPr>
                <w:rFonts w:ascii="Baskerville Old Face" w:hAnsi="Baskerville Old Face" w:cs="Calibri"/>
                <w:b/>
                <w:bCs/>
                <w:sz w:val="20"/>
                <w:szCs w:val="20"/>
              </w:rPr>
              <w:t>Articolo 7</w:t>
            </w:r>
          </w:p>
          <w:p w:rsidR="00FD040E" w:rsidRDefault="00000000">
            <w:pPr>
              <w:spacing w:before="120" w:after="120" w:line="240" w:lineRule="auto"/>
              <w:jc w:val="both"/>
              <w:rPr>
                <w:rFonts w:ascii="Baskerville Old Face" w:hAnsi="Baskerville Old Face" w:cs="Calibri"/>
                <w:b/>
                <w:bCs/>
                <w:sz w:val="20"/>
                <w:szCs w:val="20"/>
              </w:rPr>
            </w:pPr>
            <w:r>
              <w:rPr>
                <w:rFonts w:ascii="Baskerville Old Face" w:hAnsi="Baskerville Old Face" w:cs="Calibri"/>
                <w:b/>
                <w:bCs/>
                <w:sz w:val="20"/>
                <w:szCs w:val="20"/>
              </w:rPr>
              <w:t>Monitoraggio</w:t>
            </w:r>
          </w:p>
          <w:p w:rsidR="00FD040E" w:rsidRDefault="00000000">
            <w:pPr>
              <w:spacing w:after="0" w:line="240" w:lineRule="auto"/>
              <w:jc w:val="both"/>
            </w:pPr>
            <w:r>
              <w:rPr>
                <w:rFonts w:ascii="Baskerville Old Face" w:hAnsi="Baskerville Old Face" w:cs="Calibri"/>
                <w:sz w:val="20"/>
                <w:szCs w:val="20"/>
              </w:rPr>
              <w:t>1. Entro ventiquattro mesi dalla data di entrata in vigore del presente regolamento, acquisiti i dati di monitoraggio relativi all'attuazione delle disposizioni stabilite dal medesimo, il Ministero dell’Ambiente e della Sicurezza Energetica valuta l'opportunità di una revisione dei criteri per la cessazione della qualifica di rifiuto dei rifiuti di cui all'articolo 2, comma 1, lettere a) e b), per tenere conto, ove necessario, delle evidenze emerse in fase applicativa.</w:t>
            </w:r>
            <w:bookmarkEnd w:id="9"/>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b/>
                <w:bCs/>
                <w:sz w:val="20"/>
                <w:szCs w:val="20"/>
              </w:rPr>
            </w:pPr>
            <w:bookmarkStart w:id="10" w:name="_Hlk132891385"/>
            <w:r>
              <w:rPr>
                <w:rFonts w:ascii="Baskerville Old Face" w:hAnsi="Baskerville Old Face" w:cs="Calibri"/>
                <w:b/>
                <w:bCs/>
                <w:sz w:val="20"/>
                <w:szCs w:val="20"/>
              </w:rPr>
              <w:t>Articolo 8</w:t>
            </w:r>
          </w:p>
          <w:p w:rsidR="00FD040E" w:rsidRDefault="00000000">
            <w:pPr>
              <w:spacing w:before="120" w:after="120" w:line="240" w:lineRule="auto"/>
              <w:jc w:val="both"/>
              <w:rPr>
                <w:rFonts w:ascii="Baskerville Old Face" w:hAnsi="Baskerville Old Face" w:cs="Calibri"/>
                <w:b/>
                <w:bCs/>
                <w:sz w:val="20"/>
                <w:szCs w:val="20"/>
              </w:rPr>
            </w:pPr>
            <w:r>
              <w:rPr>
                <w:rFonts w:ascii="Baskerville Old Face" w:hAnsi="Baskerville Old Face" w:cs="Calibri"/>
                <w:b/>
                <w:bCs/>
                <w:sz w:val="20"/>
                <w:szCs w:val="20"/>
              </w:rPr>
              <w:t>Norme transitorie e finali</w:t>
            </w:r>
          </w:p>
          <w:p w:rsidR="00FD040E" w:rsidRDefault="00000000">
            <w:pPr>
              <w:spacing w:before="120" w:after="120" w:line="240" w:lineRule="auto"/>
              <w:jc w:val="both"/>
            </w:pPr>
            <w:r>
              <w:rPr>
                <w:rFonts w:ascii="Baskerville Old Face" w:hAnsi="Baskerville Old Face" w:cs="Calibri"/>
                <w:sz w:val="20"/>
                <w:szCs w:val="20"/>
              </w:rPr>
              <w:lastRenderedPageBreak/>
              <w:t xml:space="preserve">1. Ai fini dell’adeguamento ai criteri di cui al presente regolamento, il produttore, entro </w:t>
            </w:r>
            <w:r>
              <w:rPr>
                <w:rFonts w:ascii="Baskerville Old Face" w:hAnsi="Baskerville Old Face" w:cs="Calibri"/>
                <w:color w:val="000000"/>
                <w:sz w:val="20"/>
                <w:szCs w:val="20"/>
              </w:rPr>
              <w:t xml:space="preserve">centottanta giorni </w:t>
            </w:r>
            <w:r>
              <w:rPr>
                <w:rFonts w:ascii="Baskerville Old Face" w:hAnsi="Baskerville Old Face" w:cs="Calibri"/>
                <w:sz w:val="20"/>
                <w:szCs w:val="20"/>
              </w:rPr>
              <w:t>dall’entrata in vigore dello stesso, presenta all’autorità competente un aggiornamento della comunicazione effettuata ai sensi dell’articolo 216 del decreto legislativo n. 152 del 2006, indicando la quantità massima recuperabile, o un’istanza di aggiornamento dell’autorizzazione concessa ai sensi del Capo IV, del Titolo I, della Parte IV ovvero del Titolo III-bis, della Parte II del decreto legislativo n. 152 del 2006. Per le procedure semplificate continuano ad applicarsi le seguenti disposizioni del decreto del Ministro dell'ambiente 5 febbraio 1998 pubblicato nel supplemento ordinario alla Gazzetta Ufficiale della Repubblica italiana n. 88 del 16 aprile 1998: i limiti quantitativi previsti dall'allegato 4, le norme tecniche di cui all'allegato 5, nonché' i valori limite per le emissioni di cui all'allegato 1, sub allegato 2.</w:t>
            </w:r>
            <w:bookmarkEnd w:id="10"/>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rPr>
          <w:trHeight w:val="1540"/>
        </w:trPr>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pPr>
            <w:r>
              <w:rPr>
                <w:rFonts w:ascii="Baskerville Old Face" w:hAnsi="Baskerville Old Face" w:cs="Calibri"/>
                <w:sz w:val="20"/>
                <w:szCs w:val="20"/>
              </w:rPr>
              <w:t>2. Nel periodo di decorrenza utile all'adeguamento di cui al comma 1, i produttori di aggregato recuperato continuano ad operare in conformità alle comunicazioni effettuate ai sensi dell’art. 216 del decreto legislativo n. 152 del 2006 o nel rispetto delle autorizzazioni concesse ai sensi del Capo IV, del Titolo 1, della parte IV ovvero del Titolo III-bis, della Parte II del medesimo decreto</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rPr>
          <w:trHeight w:val="1787"/>
        </w:trPr>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3. Nelle more dell’adeguamento di cui al comma 1 e fino all’efficacia dell’aggiornamento della comunicazione o del rilascio del nuovo titolo autorizzatorio aggiornato, i materiali precedentemente prodotti possono essere utilizzati in conformità alla comunicazione effettuata ai sensi dell’articolo 216 del decreto legislativo n. 152 del 2006 o nel rispetto dell’autorizzazione concessa ai sensi del Capo IV, del Titolo I, della Parte IV ovvero del Titolo III-bis, della Parte II del medesimo decreto.</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sz w:val="20"/>
                <w:szCs w:val="20"/>
              </w:rPr>
            </w:pPr>
            <w:bookmarkStart w:id="11" w:name="_Hlk132891422"/>
            <w:r>
              <w:rPr>
                <w:rFonts w:ascii="Baskerville Old Face" w:hAnsi="Baskerville Old Face" w:cs="Calibri"/>
                <w:sz w:val="20"/>
                <w:szCs w:val="20"/>
              </w:rPr>
              <w:t xml:space="preserve">4. A seguito dell’ottenimento dell’aggiornamento delle autorizzazioni o del decorso dei termini di efficacia della comunicazione aggiornata, i produttori di aggregato recuperato operano nel rispetto dei criteri contenuti nel presente decreto. </w:t>
            </w:r>
            <w:bookmarkEnd w:id="11"/>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b/>
                <w:bCs/>
                <w:sz w:val="20"/>
                <w:szCs w:val="20"/>
              </w:rPr>
            </w:pPr>
            <w:bookmarkStart w:id="12" w:name="_Hlk132891436"/>
            <w:r>
              <w:rPr>
                <w:rFonts w:ascii="Baskerville Old Face" w:hAnsi="Baskerville Old Face" w:cs="Calibri"/>
                <w:b/>
                <w:bCs/>
                <w:sz w:val="20"/>
                <w:szCs w:val="20"/>
              </w:rPr>
              <w:t xml:space="preserve">Allegato 1 </w:t>
            </w:r>
          </w:p>
          <w:p w:rsidR="00FD040E" w:rsidRDefault="00000000">
            <w:pPr>
              <w:spacing w:before="120" w:after="120" w:line="240" w:lineRule="auto"/>
              <w:jc w:val="both"/>
            </w:pPr>
            <w:r>
              <w:rPr>
                <w:rFonts w:ascii="Baskerville Old Face" w:hAnsi="Baskerville Old Face" w:cs="Calibri"/>
                <w:b/>
                <w:bCs/>
                <w:sz w:val="20"/>
                <w:szCs w:val="20"/>
              </w:rPr>
              <w:t>(Articolo 3)</w:t>
            </w:r>
            <w:bookmarkEnd w:id="12"/>
          </w:p>
        </w:tc>
        <w:tc>
          <w:tcPr>
            <w:tcW w:w="241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b/>
                <w:bCs/>
                <w:sz w:val="20"/>
                <w:szCs w:val="20"/>
              </w:rPr>
            </w:pPr>
            <w:r>
              <w:rPr>
                <w:rFonts w:ascii="Baskerville Old Face" w:hAnsi="Baskerville Old Face" w:cs="Calibri"/>
                <w:b/>
                <w:bCs/>
                <w:sz w:val="20"/>
                <w:szCs w:val="20"/>
              </w:rPr>
              <w:t>a</w:t>
            </w:r>
            <w:bookmarkStart w:id="13" w:name="_Hlk132891452"/>
            <w:r>
              <w:rPr>
                <w:rFonts w:ascii="Baskerville Old Face" w:hAnsi="Baskerville Old Face" w:cs="Calibri"/>
                <w:b/>
                <w:bCs/>
                <w:sz w:val="20"/>
                <w:szCs w:val="20"/>
              </w:rPr>
              <w:t>) rifiuti ammissibili</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 xml:space="preserve">Per la produzione di aggregato recuperato sono utilizzabili esclusivamente i rifiuti inerti dalle attività di costruzione e di demolizione non pericolosi </w:t>
            </w:r>
            <w:r>
              <w:rPr>
                <w:rFonts w:ascii="Baskerville Old Face" w:hAnsi="Baskerville Old Face" w:cs="Calibri"/>
                <w:sz w:val="20"/>
                <w:szCs w:val="20"/>
              </w:rPr>
              <w:lastRenderedPageBreak/>
              <w:t>elencati nella tabella 1, punto 1, e i rifiuti inerti non pericolosi di origine minerale elencati nella tabella 1, punto 2. Non sono ammessi alla produzione di aggregato recuperato i rifiuti interrati.</w:t>
            </w:r>
            <w:bookmarkEnd w:id="13"/>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sz w:val="20"/>
                <w:szCs w:val="20"/>
              </w:rPr>
            </w:pPr>
            <w:bookmarkStart w:id="14" w:name="_Hlk132891475"/>
            <w:r>
              <w:rPr>
                <w:rFonts w:ascii="Baskerville Old Face" w:hAnsi="Baskerville Old Face" w:cs="Calibri"/>
                <w:sz w:val="20"/>
                <w:szCs w:val="20"/>
              </w:rPr>
              <w:t>Tabella 1 – Rifiuti ammessi per la produzione di aggregato recuperato</w:t>
            </w:r>
          </w:p>
          <w:bookmarkEnd w:id="14"/>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1. Rifiuti inerti dalle attività di costruzione e demolizione (Capitolo 17 dell’elenco europeo dei rifiuti)</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170101 Cemento</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170102 Mattoni</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170103 Mattonelle e ceramiche</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170107 Miscugli o scorie di cemento, mattoni, mattonelle e ceramiche, diverse da quelle di cui alla voce170106</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170302 Miscele bituminose diverse da quelle di cui alla voce 170301</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170504 Terre e rocce da scavo, diverse da quelle di cui alla voce 170503</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170508 Pietrisco per massicciate ferroviarie, diverso da quello di cui alla voce 170507</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170904 Rifiuti misti dell'attività di costruzione e demolizione, diversi da quelli di cui alle voci 170901,170902 e 170903</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2. Altri rifiuti inerti di origine minerale (non appartenenti al Capitolo 17 dell’elenco europeo dei rifiuti)</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010408 Scarti di ghiaia e pietrisco, diversi da quelli di cui alla voce 010407</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010409 Scarti di sabbia e argilla</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010410 Polveri e residui affini, diversi da quelli di cui alla voce 010407</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010413 Rifiuti prodotti dal taglio e dalla segagione della pietra, diversi da quelli di cui alla voce 010407</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101201 Residui di miscela di preparazione non sottoposti a trattamento termico</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101206 Stampi di scarto costituiti esclusivamente da sfridi e scarti di prodotti ceramici crudi smaltati e cotti oda sfridi di laterizio cotto e argilla espansa eventualmente ricoperti con smalto crudo in concentrazione &lt; 10%in peso</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lastRenderedPageBreak/>
              <w:t>101208 Scarti di ceramica, mattoni, mattonelle e materiali da costruzione (sottoposti a trattamento termico)</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101311 Rifiuti della produzione di materiali compositi a base di cemento, diversi da quelli di cui alle voci101309 e 101310</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120117 Residui di materiale di sabbiatura, diversi da quelli di cui alla voce 120116 costituiti esclusivamente da sabbie abrasive di scarto</w:t>
            </w:r>
          </w:p>
          <w:p w:rsidR="00FD040E" w:rsidRDefault="00000000">
            <w:pPr>
              <w:spacing w:before="120" w:after="120" w:line="240" w:lineRule="auto"/>
              <w:jc w:val="both"/>
            </w:pPr>
            <w:r>
              <w:rPr>
                <w:rFonts w:ascii="Baskerville Old Face" w:hAnsi="Baskerville Old Face" w:cs="Calibri"/>
                <w:sz w:val="20"/>
                <w:szCs w:val="20"/>
              </w:rPr>
              <w:t>191209 Minerali (ad esempio, sabbia, rocce</w:t>
            </w:r>
            <w:r>
              <w:rPr>
                <w:rFonts w:ascii="Baskerville Old Face" w:hAnsi="Baskerville Old Face" w:cs="Calibri"/>
                <w:color w:val="000000"/>
                <w:sz w:val="20"/>
                <w:szCs w:val="20"/>
              </w:rPr>
              <w:t xml:space="preserve"> inerti</w:t>
            </w:r>
            <w:r>
              <w:rPr>
                <w:rFonts w:ascii="Baskerville Old Face" w:hAnsi="Baskerville Old Face" w:cs="Calibri"/>
                <w:sz w:val="20"/>
                <w:szCs w:val="20"/>
              </w:rPr>
              <w:t>)</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200301 Rifiuti urbani non differenziati, limitatamente alla frazione inerte dei rifiuti abbandonati provenienti da attività di costruzione e demolizione.</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b/>
                <w:bCs/>
                <w:sz w:val="20"/>
                <w:szCs w:val="20"/>
              </w:rPr>
            </w:pPr>
            <w:bookmarkStart w:id="15" w:name="_Hlk132891610"/>
            <w:r>
              <w:rPr>
                <w:rFonts w:ascii="Baskerville Old Face" w:hAnsi="Baskerville Old Face" w:cs="Calibri"/>
                <w:b/>
                <w:bCs/>
                <w:sz w:val="20"/>
                <w:szCs w:val="20"/>
              </w:rPr>
              <w:t>b) Verifiche sui rifiuti in ingresso</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I rifiuti ammessi alla produzione di aggregato recuperato devono essere sottoposti ad esame della documentazione a corredo dei rifiuti in ingresso, a controllo visivo e, qualora se ne ravveda la necessità, a controlli supplementari.</w:t>
            </w:r>
          </w:p>
          <w:p w:rsidR="00FD040E" w:rsidRDefault="00000000">
            <w:pPr>
              <w:spacing w:before="120" w:after="120" w:line="240" w:lineRule="auto"/>
              <w:jc w:val="both"/>
            </w:pPr>
            <w:r>
              <w:rPr>
                <w:rFonts w:ascii="Baskerville Old Face" w:hAnsi="Baskerville Old Face" w:cs="Calibri"/>
                <w:sz w:val="20"/>
                <w:szCs w:val="20"/>
              </w:rPr>
              <w:t>A tal fine, il produttore dell'aggregato recuperato deve dotarsi di una procedura</w:t>
            </w:r>
            <w:r>
              <w:rPr>
                <w:rFonts w:ascii="Baskerville Old Face" w:hAnsi="Baskerville Old Face" w:cs="Calibri"/>
                <w:color w:val="ED7D31"/>
                <w:sz w:val="20"/>
                <w:szCs w:val="20"/>
              </w:rPr>
              <w:t xml:space="preserve"> </w:t>
            </w:r>
            <w:r>
              <w:rPr>
                <w:rFonts w:ascii="Baskerville Old Face" w:hAnsi="Baskerville Old Face" w:cs="Calibri"/>
                <w:sz w:val="20"/>
                <w:szCs w:val="20"/>
              </w:rPr>
              <w:t>di accettazione dei rifiuti atto a verificare che gli stessi corrispondano alle caratteristiche previste dal presente regolamento.</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Per le imprese registrate ai sensi del regolamento (Ce) n. 1221/2009 del Parlamento europeo e del Consiglio, del 25 novembre 2009, e per le imprese in possesso della certificazione ambientale Uni En Iso 14001 rilasciata da organizzazione accreditata ai sensi della normativa vigente, il suddetto sistema è integrato nel sistema digestione ambientale.</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Il sistema deve garantire almeno il rispetto dei seguenti obblighi e presuppone la predisposizione di una procedura per la gestione, la tracciabilità e la rendicontazione delle non conformità riscontrate:</w:t>
            </w:r>
          </w:p>
          <w:p w:rsidR="00FD040E" w:rsidRDefault="00000000">
            <w:pPr>
              <w:pStyle w:val="Paragrafoelenco"/>
              <w:numPr>
                <w:ilvl w:val="0"/>
                <w:numId w:val="2"/>
              </w:num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esame della documentazione a corredo del carico dei rifiuti in ingresso da parte di personale con appropriato livello di formazione e addestramento;</w:t>
            </w:r>
          </w:p>
          <w:p w:rsidR="00FD040E" w:rsidRDefault="00000000">
            <w:pPr>
              <w:pStyle w:val="Paragrafoelenco"/>
              <w:numPr>
                <w:ilvl w:val="0"/>
                <w:numId w:val="2"/>
              </w:num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controllo visivo del carico di rifiuti in ingresso;</w:t>
            </w:r>
          </w:p>
          <w:p w:rsidR="00FD040E" w:rsidRDefault="00000000">
            <w:pPr>
              <w:pStyle w:val="Paragrafoelenco"/>
              <w:numPr>
                <w:ilvl w:val="0"/>
                <w:numId w:val="2"/>
              </w:numPr>
              <w:spacing w:before="120" w:after="120" w:line="240" w:lineRule="auto"/>
              <w:jc w:val="both"/>
            </w:pPr>
            <w:r>
              <w:rPr>
                <w:rFonts w:ascii="Baskerville Old Face" w:hAnsi="Baskerville Old Face" w:cs="Calibri"/>
                <w:sz w:val="20"/>
                <w:szCs w:val="20"/>
              </w:rPr>
              <w:t xml:space="preserve">accettazione di tali rifiuti solo ove l'esame della documentazione a corredo e il controllo visivo abbiano esito positivo sotto il controllo di personale con formazione e aggiornamento </w:t>
            </w:r>
            <w:r>
              <w:rPr>
                <w:rFonts w:ascii="Baskerville Old Face" w:hAnsi="Baskerville Old Face" w:cs="Calibri"/>
                <w:color w:val="000000"/>
                <w:sz w:val="20"/>
                <w:szCs w:val="20"/>
              </w:rPr>
              <w:t xml:space="preserve">periodico che provvede alla selezione dei rifiuti, rimuove e </w:t>
            </w:r>
            <w:r>
              <w:rPr>
                <w:rFonts w:ascii="Baskerville Old Face" w:hAnsi="Baskerville Old Face" w:cs="Calibri"/>
                <w:color w:val="000000"/>
                <w:sz w:val="20"/>
                <w:szCs w:val="20"/>
              </w:rPr>
              <w:lastRenderedPageBreak/>
              <w:t xml:space="preserve">mantiene separato qualsiasi materiale estraneo; pesatura e registrazione dei dati relativi al carico dei rifiuti in ingresso; </w:t>
            </w:r>
          </w:p>
          <w:p w:rsidR="00FD040E" w:rsidRDefault="00000000">
            <w:pPr>
              <w:pStyle w:val="Paragrafoelenco"/>
              <w:numPr>
                <w:ilvl w:val="0"/>
                <w:numId w:val="2"/>
              </w:numPr>
              <w:spacing w:before="120" w:after="120" w:line="240" w:lineRule="auto"/>
              <w:jc w:val="both"/>
              <w:rPr>
                <w:rFonts w:ascii="Baskerville Old Face" w:hAnsi="Baskerville Old Face" w:cs="Calibri"/>
                <w:color w:val="000000"/>
                <w:sz w:val="20"/>
                <w:szCs w:val="20"/>
              </w:rPr>
            </w:pPr>
            <w:r>
              <w:rPr>
                <w:rFonts w:ascii="Baskerville Old Face" w:hAnsi="Baskerville Old Face" w:cs="Calibri"/>
                <w:color w:val="000000"/>
                <w:sz w:val="20"/>
                <w:szCs w:val="20"/>
              </w:rPr>
              <w:t>stoccaggio separato dei rifiuti non conformi ai criteri di cui al presente regolamento in area dedicata;</w:t>
            </w:r>
          </w:p>
          <w:p w:rsidR="00FD040E" w:rsidRDefault="00000000">
            <w:pPr>
              <w:pStyle w:val="Paragrafoelenco"/>
              <w:numPr>
                <w:ilvl w:val="0"/>
                <w:numId w:val="2"/>
              </w:numPr>
              <w:spacing w:before="120" w:after="120" w:line="240" w:lineRule="auto"/>
              <w:jc w:val="both"/>
              <w:rPr>
                <w:rFonts w:ascii="Baskerville Old Face" w:hAnsi="Baskerville Old Face" w:cs="Calibri"/>
                <w:color w:val="000000"/>
                <w:sz w:val="20"/>
                <w:szCs w:val="20"/>
              </w:rPr>
            </w:pPr>
            <w:r>
              <w:rPr>
                <w:rFonts w:ascii="Baskerville Old Face" w:hAnsi="Baskerville Old Face" w:cs="Calibri"/>
                <w:color w:val="000000"/>
                <w:sz w:val="20"/>
                <w:szCs w:val="20"/>
              </w:rPr>
              <w:t>messa in riserva dei rifiuti conformi, di cui alla tabella l del presente allegato, nell'area dedicata esclusivamente ad essi, la quale è strutturata in modo da impedire la miscelazione anche accidentale con altre tipologie di rifiuti non ammessi;</w:t>
            </w:r>
          </w:p>
          <w:p w:rsidR="00FD040E" w:rsidRDefault="00000000">
            <w:pPr>
              <w:pStyle w:val="Paragrafoelenco"/>
              <w:numPr>
                <w:ilvl w:val="0"/>
                <w:numId w:val="2"/>
              </w:numPr>
              <w:spacing w:before="120" w:after="120" w:line="240" w:lineRule="auto"/>
              <w:jc w:val="both"/>
            </w:pPr>
            <w:r>
              <w:rPr>
                <w:rFonts w:ascii="Baskerville Old Face" w:hAnsi="Baskerville Old Face" w:cs="Calibri"/>
                <w:color w:val="000000"/>
                <w:sz w:val="20"/>
                <w:szCs w:val="20"/>
              </w:rPr>
              <w:t xml:space="preserve">movimentazione dei rifiuti avviati alla produzione di aggregato recuperato realizzata da parte di personale conformazione e aggiornamento periodico in modo da impedire la contaminazione degli </w:t>
            </w:r>
            <w:r>
              <w:rPr>
                <w:rFonts w:ascii="Baskerville Old Face" w:hAnsi="Baskerville Old Face" w:cs="Calibri"/>
                <w:sz w:val="20"/>
                <w:szCs w:val="20"/>
              </w:rPr>
              <w:t>stessi con altri rifiuti o materiale estraneo;</w:t>
            </w:r>
          </w:p>
          <w:p w:rsidR="00FD040E" w:rsidRDefault="00000000">
            <w:pPr>
              <w:pStyle w:val="Paragrafoelenco"/>
              <w:numPr>
                <w:ilvl w:val="0"/>
                <w:numId w:val="2"/>
              </w:num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svolgimento di controlli supplementari, anche analitici, a campione ovvero ogniqualvolta l'analisi della documentazione o il controllo visivo indichi tale necessità.</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b/>
                <w:bCs/>
                <w:sz w:val="20"/>
                <w:szCs w:val="20"/>
              </w:rPr>
            </w:pPr>
            <w:bookmarkStart w:id="16" w:name="_Hlk132891628"/>
            <w:bookmarkEnd w:id="15"/>
            <w:r>
              <w:rPr>
                <w:rFonts w:ascii="Baskerville Old Face" w:hAnsi="Baskerville Old Face" w:cs="Calibri"/>
                <w:b/>
                <w:bCs/>
                <w:sz w:val="20"/>
                <w:szCs w:val="20"/>
              </w:rPr>
              <w:t>c) Processo di lavorazione minimo e deposito presso il produttore</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Il processo di trattamento e di recupero dei rifiuti inerti dalle attività di costruzione e demolizione e degli altri rifiuti inerti di origine minerale, come definiti dalle lettere a) e b) dell'articolo 2, finalizzato alla produzione dell’aggregato recuperato, avviene mediante fasi meccaniche e tecnologicamente interconnesse, quali, a mero titolo esemplificativo:</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la macinazione,</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la vagliatura,</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la selezione granulometrica,</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la separazione della frazione metallica e delle frazioni indesiderate.</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 xml:space="preserve">Il processo di recupero, a seconda del tipo di materiale, può consistere semplicemente nel controllare i rifiuti per verificare se soddisfano i criteri definiti nelle successive tabelle 2 e 3 o si realizza tramite il compimento di tutte o alcune delle suddette fasi, ovvero di altri processi di tipo meccanico che consentano il rispetto dei criteri previsti dal presente regolamento. </w:t>
            </w:r>
          </w:p>
          <w:p w:rsidR="00FD040E" w:rsidRDefault="00000000">
            <w:pPr>
              <w:spacing w:before="120" w:after="120" w:line="240" w:lineRule="auto"/>
              <w:jc w:val="both"/>
              <w:rPr>
                <w:rFonts w:ascii="Baskerville Old Face" w:hAnsi="Baskerville Old Face" w:cs="Calibri"/>
                <w:sz w:val="20"/>
                <w:szCs w:val="20"/>
              </w:rPr>
            </w:pPr>
            <w:bookmarkStart w:id="17" w:name="_Hlk132891643"/>
            <w:bookmarkEnd w:id="16"/>
            <w:r>
              <w:rPr>
                <w:rFonts w:ascii="Baskerville Old Face" w:hAnsi="Baskerville Old Face" w:cs="Calibri"/>
                <w:sz w:val="20"/>
                <w:szCs w:val="20"/>
              </w:rPr>
              <w:t>Durante la fase di verifica di conformità dell'aggregato recuperato, il deposito e la movimentazione presso il produttore sono organizzati in modo tale che i singoli lotti di produzione non siano miscelati.</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lastRenderedPageBreak/>
              <w:t>Per l’intero periodo di giacenza del materiale recuperato presso l’impianto di trattamento all’interno del quale è stato prodotto, l’aggregato recuperato è depositato e movimentato all’interno dello stesso e nelle aree di deposito adibite allo scopo. Sono fatte salve tutte le disposizioni vigenti in materia di sicurezza e prevenzione nei luoghi di lavoro e le disposizioni autorizzative specifiche.</w:t>
            </w:r>
            <w:bookmarkEnd w:id="17"/>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b/>
                <w:bCs/>
                <w:sz w:val="20"/>
                <w:szCs w:val="20"/>
              </w:rPr>
            </w:pPr>
            <w:bookmarkStart w:id="18" w:name="_Hlk132891662"/>
            <w:r>
              <w:rPr>
                <w:rFonts w:ascii="Baskerville Old Face" w:hAnsi="Baskerville Old Face" w:cs="Calibri"/>
                <w:b/>
                <w:bCs/>
                <w:sz w:val="20"/>
                <w:szCs w:val="20"/>
              </w:rPr>
              <w:t>d) Requisiti di qualità dell'aggregato recuperato</w:t>
            </w:r>
          </w:p>
          <w:p w:rsidR="00FD040E" w:rsidRDefault="00000000">
            <w:pPr>
              <w:spacing w:before="120" w:after="120" w:line="240" w:lineRule="auto"/>
              <w:jc w:val="both"/>
              <w:rPr>
                <w:rFonts w:ascii="Baskerville Old Face" w:hAnsi="Baskerville Old Face" w:cs="Calibri"/>
                <w:b/>
                <w:bCs/>
                <w:sz w:val="20"/>
                <w:szCs w:val="20"/>
              </w:rPr>
            </w:pPr>
            <w:r>
              <w:rPr>
                <w:rFonts w:ascii="Baskerville Old Face" w:hAnsi="Baskerville Old Face" w:cs="Calibri"/>
                <w:b/>
                <w:bCs/>
                <w:sz w:val="20"/>
                <w:szCs w:val="20"/>
              </w:rPr>
              <w:t>d.1) Controlli sull'aggregato recuperato</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Per ogni lotto di aggregato recuperato prodotto è garantito il rispetto di parametri di cui alla Tabella 2 e Tabella 2 a) a seconda degli utilizzi cui sono destinati i lotti di aggregato recuperato prodotto previsti dall’Allegato 2 (articolo 4).</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I valori limite di concentrazione indicati nella prima colonna della Tabella 2 si applicano ai lotti di aggregato recuperato destinati all’utilizzo di cui alla lettera a) dell’Allegato 2 del presente decreto.</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I valori limite di concentrazione indicati nella seconda colonna della Tabella 2 si applicano ai lotti di aggregato recuperato destinati agli utilizzi di cui alle lettere b), c), d), e), f) e g) dell’Allegato 2 del presente decreto.</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I valori limite di concentrazione indicati nella Tabella 2 a) si applicano ai lotti di aggregato recuperato destinati all’utilizzo di cui alla lettera h) dell’Allegato 2 del presente decreto.</w:t>
            </w:r>
          </w:p>
          <w:p w:rsidR="00FD040E" w:rsidRDefault="00000000">
            <w:pPr>
              <w:spacing w:before="120" w:after="120" w:line="240" w:lineRule="auto"/>
              <w:jc w:val="both"/>
              <w:rPr>
                <w:rFonts w:ascii="Baskerville Old Face" w:hAnsi="Baskerville Old Face" w:cs="Calibri"/>
                <w:b/>
                <w:bCs/>
                <w:sz w:val="20"/>
                <w:szCs w:val="20"/>
              </w:rPr>
            </w:pPr>
            <w:bookmarkStart w:id="19" w:name="_Hlk132891682"/>
            <w:bookmarkEnd w:id="18"/>
            <w:r>
              <w:rPr>
                <w:rFonts w:ascii="Baskerville Old Face" w:hAnsi="Baskerville Old Face" w:cs="Calibri"/>
                <w:b/>
                <w:bCs/>
                <w:sz w:val="20"/>
                <w:szCs w:val="20"/>
              </w:rPr>
              <w:t>Tabella 2 — Parametri da ricercare e valori limite</w:t>
            </w:r>
          </w:p>
          <w:tbl>
            <w:tblPr>
              <w:tblW w:w="4136" w:type="dxa"/>
              <w:jc w:val="center"/>
              <w:tblCellMar>
                <w:left w:w="10" w:type="dxa"/>
                <w:right w:w="10" w:type="dxa"/>
              </w:tblCellMar>
              <w:tblLook w:val="0000" w:firstRow="0" w:lastRow="0" w:firstColumn="0" w:lastColumn="0" w:noHBand="0" w:noVBand="0"/>
            </w:tblPr>
            <w:tblGrid>
              <w:gridCol w:w="1970"/>
              <w:gridCol w:w="815"/>
              <w:gridCol w:w="1206"/>
              <w:gridCol w:w="1206"/>
            </w:tblGrid>
            <w:tr w:rsidR="00FD040E">
              <w:tblPrEx>
                <w:tblCellMar>
                  <w:top w:w="0" w:type="dxa"/>
                  <w:bottom w:w="0" w:type="dxa"/>
                </w:tblCellMar>
              </w:tblPrEx>
              <w:trPr>
                <w:trHeight w:val="222"/>
                <w:jc w:val="center"/>
              </w:trPr>
              <w:tc>
                <w:tcPr>
                  <w:tcW w:w="1970" w:type="dxa"/>
                  <w:vMerge w:val="restart"/>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149"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9"/>
                    <w:jc w:val="center"/>
                  </w:pPr>
                  <w:bookmarkStart w:id="20" w:name="_Hlk132891715"/>
                  <w:bookmarkEnd w:id="19"/>
                  <w:r>
                    <w:rPr>
                      <w:rFonts w:ascii="Baskerville Old Face" w:eastAsia="Arial Unicode MS" w:hAnsi="Baskerville Old Face"/>
                      <w:b/>
                      <w:bCs/>
                      <w:sz w:val="20"/>
                      <w:szCs w:val="20"/>
                      <w:lang w:eastAsia="it-IT"/>
                    </w:rPr>
                    <w:t>Parametri</w:t>
                  </w:r>
                </w:p>
              </w:tc>
              <w:tc>
                <w:tcPr>
                  <w:tcW w:w="815" w:type="dxa"/>
                  <w:vMerge w:val="restart"/>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139"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9"/>
                    <w:jc w:val="center"/>
                  </w:pPr>
                  <w:r>
                    <w:rPr>
                      <w:rFonts w:ascii="Baskerville Old Face" w:eastAsia="Arial Unicode MS" w:hAnsi="Baskerville Old Face"/>
                      <w:b/>
                      <w:bCs/>
                      <w:sz w:val="20"/>
                      <w:szCs w:val="20"/>
                      <w:lang w:eastAsia="it-IT"/>
                    </w:rPr>
                    <w:t>Unità di misura</w:t>
                  </w:r>
                </w:p>
              </w:tc>
              <w:tc>
                <w:tcPr>
                  <w:tcW w:w="2412" w:type="dxa"/>
                  <w:gridSpan w:val="2"/>
                  <w:tcBorders>
                    <w:top w:val="single" w:sz="4" w:space="0" w:color="000000"/>
                    <w:left w:val="single" w:sz="4" w:space="0" w:color="000000"/>
                    <w:bottom w:val="single" w:sz="4" w:space="0" w:color="000000"/>
                    <w:right w:val="single" w:sz="4" w:space="0" w:color="000000"/>
                  </w:tcBorders>
                  <w:shd w:val="clear" w:color="auto" w:fill="D9D9D9"/>
                  <w:tcMar>
                    <w:top w:w="80" w:type="dxa"/>
                    <w:left w:w="108"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left="28"/>
                    <w:jc w:val="center"/>
                  </w:pPr>
                  <w:r>
                    <w:rPr>
                      <w:rFonts w:ascii="Baskerville Old Face" w:eastAsia="Arial Unicode MS" w:hAnsi="Baskerville Old Face"/>
                      <w:b/>
                      <w:bCs/>
                      <w:sz w:val="20"/>
                      <w:szCs w:val="20"/>
                      <w:lang w:eastAsia="it-IT"/>
                    </w:rPr>
                    <w:t>Concentrazioni limite di utilizzo</w:t>
                  </w:r>
                </w:p>
              </w:tc>
            </w:tr>
            <w:tr w:rsidR="00FD040E">
              <w:tblPrEx>
                <w:tblCellMar>
                  <w:top w:w="0" w:type="dxa"/>
                  <w:bottom w:w="0" w:type="dxa"/>
                </w:tblCellMar>
              </w:tblPrEx>
              <w:trPr>
                <w:trHeight w:val="222"/>
                <w:jc w:val="center"/>
              </w:trPr>
              <w:tc>
                <w:tcPr>
                  <w:tcW w:w="1970" w:type="dxa"/>
                  <w:vMerge/>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149" w:type="dxa"/>
                  </w:tcMar>
                  <w:vAlign w:val="center"/>
                </w:tcPr>
                <w:p w:rsidR="00FD040E" w:rsidRDefault="00FD040E">
                  <w:pPr>
                    <w:pBdr>
                      <w:top w:val="single" w:sz="2" w:space="31" w:color="FFFFFF" w:shadow="1"/>
                      <w:left w:val="single" w:sz="2" w:space="31" w:color="FFFFFF" w:shadow="1"/>
                      <w:bottom w:val="single" w:sz="2" w:space="31" w:color="FFFFFF" w:shadow="1"/>
                      <w:right w:val="single" w:sz="2" w:space="31" w:color="FFFFFF" w:shadow="1"/>
                    </w:pBdr>
                    <w:spacing w:after="0" w:line="240" w:lineRule="auto"/>
                    <w:rPr>
                      <w:rFonts w:ascii="Baskerville Old Face" w:eastAsia="Arial Unicode MS" w:hAnsi="Baskerville Old Face"/>
                      <w:sz w:val="20"/>
                      <w:szCs w:val="20"/>
                      <w:lang w:eastAsia="it-IT"/>
                    </w:rPr>
                  </w:pPr>
                </w:p>
              </w:tc>
              <w:tc>
                <w:tcPr>
                  <w:tcW w:w="815" w:type="dxa"/>
                  <w:vMerge/>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139" w:type="dxa"/>
                  </w:tcMar>
                  <w:vAlign w:val="center"/>
                </w:tcPr>
                <w:p w:rsidR="00FD040E" w:rsidRDefault="00FD040E">
                  <w:pPr>
                    <w:pBdr>
                      <w:top w:val="single" w:sz="2" w:space="31" w:color="FFFFFF" w:shadow="1"/>
                      <w:left w:val="single" w:sz="2" w:space="31" w:color="FFFFFF" w:shadow="1"/>
                      <w:bottom w:val="single" w:sz="2" w:space="31" w:color="FFFFFF" w:shadow="1"/>
                      <w:right w:val="single" w:sz="2" w:space="31" w:color="FFFFFF" w:shadow="1"/>
                    </w:pBdr>
                    <w:spacing w:after="0" w:line="240" w:lineRule="auto"/>
                    <w:rPr>
                      <w:rFonts w:ascii="Baskerville Old Face" w:eastAsia="Arial Unicode MS" w:hAnsi="Baskerville Old Face"/>
                      <w:sz w:val="20"/>
                      <w:szCs w:val="20"/>
                      <w:lang w:eastAsia="it-IT"/>
                    </w:rPr>
                  </w:pPr>
                </w:p>
              </w:tc>
              <w:tc>
                <w:tcPr>
                  <w:tcW w:w="1206" w:type="dxa"/>
                  <w:tcBorders>
                    <w:top w:val="single" w:sz="4" w:space="0" w:color="000000"/>
                    <w:left w:val="single" w:sz="4" w:space="0" w:color="000000"/>
                    <w:bottom w:val="single" w:sz="4" w:space="0" w:color="000000"/>
                    <w:right w:val="single" w:sz="4" w:space="0" w:color="000000"/>
                  </w:tcBorders>
                  <w:shd w:val="clear" w:color="auto" w:fill="D9D9D9"/>
                  <w:tcMar>
                    <w:top w:w="80" w:type="dxa"/>
                    <w:left w:w="108"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left="28"/>
                    <w:jc w:val="center"/>
                  </w:pPr>
                  <w:r>
                    <w:rPr>
                      <w:rFonts w:ascii="Baskerville Old Face" w:eastAsia="Arial Unicode MS" w:hAnsi="Baskerville Old Face"/>
                      <w:b/>
                      <w:bCs/>
                      <w:sz w:val="20"/>
                      <w:szCs w:val="20"/>
                      <w:lang w:eastAsia="it-IT"/>
                    </w:rPr>
                    <w:t xml:space="preserve">Utilizzo di cui alla </w:t>
                  </w:r>
                  <w:r>
                    <w:rPr>
                      <w:rFonts w:ascii="Baskerville Old Face" w:eastAsia="Arial Unicode MS" w:hAnsi="Baskerville Old Face"/>
                      <w:b/>
                      <w:bCs/>
                      <w:sz w:val="20"/>
                      <w:szCs w:val="20"/>
                      <w:lang w:eastAsia="it-IT"/>
                    </w:rPr>
                    <w:lastRenderedPageBreak/>
                    <w:t>lettera a) dell’Allegato 2</w:t>
                  </w:r>
                </w:p>
              </w:tc>
              <w:tc>
                <w:tcPr>
                  <w:tcW w:w="1206" w:type="dxa"/>
                  <w:tcBorders>
                    <w:top w:val="single" w:sz="4" w:space="0" w:color="000000"/>
                    <w:left w:val="single" w:sz="4" w:space="0" w:color="000000"/>
                    <w:bottom w:val="single" w:sz="4" w:space="0" w:color="000000"/>
                    <w:right w:val="single" w:sz="4" w:space="0" w:color="000000"/>
                  </w:tcBorders>
                  <w:shd w:val="clear" w:color="auto" w:fill="D9D9D9"/>
                  <w:tcMar>
                    <w:top w:w="80" w:type="dxa"/>
                    <w:left w:w="108"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left="28"/>
                    <w:jc w:val="center"/>
                  </w:pPr>
                  <w:r>
                    <w:rPr>
                      <w:rFonts w:ascii="Baskerville Old Face" w:eastAsia="Arial Unicode MS" w:hAnsi="Baskerville Old Face"/>
                      <w:b/>
                      <w:bCs/>
                      <w:sz w:val="20"/>
                      <w:szCs w:val="20"/>
                      <w:lang w:eastAsia="it-IT"/>
                    </w:rPr>
                    <w:lastRenderedPageBreak/>
                    <w:t xml:space="preserve">Utilizzi di cui alle </w:t>
                  </w:r>
                  <w:r>
                    <w:rPr>
                      <w:rFonts w:ascii="Baskerville Old Face" w:eastAsia="Arial Unicode MS" w:hAnsi="Baskerville Old Face"/>
                      <w:b/>
                      <w:bCs/>
                      <w:sz w:val="20"/>
                      <w:szCs w:val="20"/>
                      <w:lang w:eastAsia="it-IT"/>
                    </w:rPr>
                    <w:lastRenderedPageBreak/>
                    <w:t>lettere da b) a g) dell’Allegato 2</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lastRenderedPageBreak/>
                    <w:t xml:space="preserve">Amianto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 xml:space="preserve">mg/kg espressi come sostanza secca </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100 (1)</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100 (1)</w:t>
                  </w:r>
                </w:p>
              </w:tc>
            </w:tr>
            <w:tr w:rsidR="00FD040E">
              <w:tblPrEx>
                <w:tblCellMar>
                  <w:top w:w="0" w:type="dxa"/>
                  <w:bottom w:w="0" w:type="dxa"/>
                </w:tblCellMar>
              </w:tblPrEx>
              <w:trPr>
                <w:trHeight w:val="618"/>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rPr>
                      <w:rFonts w:ascii="Baskerville Old Face" w:eastAsia="Arial Unicode MS" w:hAnsi="Baskerville Old Face"/>
                      <w:sz w:val="20"/>
                      <w:szCs w:val="20"/>
                      <w:lang w:eastAsia="it-IT"/>
                    </w:rPr>
                  </w:pPr>
                  <w:r>
                    <w:rPr>
                      <w:rFonts w:ascii="Baskerville Old Face" w:eastAsia="Arial Unicode MS" w:hAnsi="Baskerville Old Face"/>
                      <w:sz w:val="20"/>
                      <w:szCs w:val="20"/>
                      <w:lang w:eastAsia="it-IT"/>
                    </w:rPr>
                    <w:t>(IDROCARBURI</w:t>
                  </w:r>
                </w:p>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 xml:space="preserve">AROMATICI)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 xml:space="preserve"> </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FD040E">
                  <w:pPr>
                    <w:pBdr>
                      <w:top w:val="single" w:sz="2" w:space="31" w:color="FFFFFF" w:shadow="1"/>
                      <w:left w:val="single" w:sz="2" w:space="31" w:color="FFFFFF" w:shadow="1"/>
                      <w:bottom w:val="single" w:sz="2" w:space="31" w:color="FFFFFF" w:shadow="1"/>
                      <w:right w:val="single" w:sz="2" w:space="31" w:color="FFFFFF" w:shadow="1"/>
                    </w:pBdr>
                    <w:spacing w:after="0" w:line="240" w:lineRule="auto"/>
                    <w:rPr>
                      <w:rFonts w:ascii="Baskerville Old Face" w:eastAsia="Arial Unicode MS" w:hAnsi="Baskerville Old Face"/>
                      <w:sz w:val="20"/>
                      <w:szCs w:val="20"/>
                      <w:lang w:eastAsia="it-IT"/>
                    </w:rPr>
                  </w:pP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FD040E">
                  <w:pPr>
                    <w:pBdr>
                      <w:top w:val="single" w:sz="2" w:space="31" w:color="FFFFFF" w:shadow="1"/>
                      <w:left w:val="single" w:sz="2" w:space="31" w:color="FFFFFF" w:shadow="1"/>
                      <w:bottom w:val="single" w:sz="2" w:space="31" w:color="FFFFFF" w:shadow="1"/>
                      <w:right w:val="single" w:sz="2" w:space="31" w:color="FFFFFF" w:shadow="1"/>
                    </w:pBdr>
                    <w:spacing w:after="0" w:line="240" w:lineRule="auto"/>
                    <w:rPr>
                      <w:rFonts w:ascii="Baskerville Old Face" w:eastAsia="Arial Unicode MS" w:hAnsi="Baskerville Old Face"/>
                      <w:sz w:val="20"/>
                      <w:szCs w:val="20"/>
                      <w:lang w:eastAsia="it-IT"/>
                    </w:rPr>
                  </w:pP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Benzene</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 xml:space="preserve">mg/kg espressi come </w:t>
                  </w:r>
                  <w:r>
                    <w:rPr>
                      <w:rFonts w:ascii="Baskerville Old Face" w:eastAsia="Arial Unicode MS" w:hAnsi="Baskerville Old Face"/>
                      <w:sz w:val="20"/>
                      <w:szCs w:val="20"/>
                      <w:lang w:eastAsia="it-IT"/>
                    </w:rPr>
                    <w:lastRenderedPageBreak/>
                    <w:t>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lastRenderedPageBreak/>
                    <w:t>0.1</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2</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 xml:space="preserve">Etilbenzene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0.5</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50</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 xml:space="preserve">Stirene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0.5</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50</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 xml:space="preserve">Toluene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 xml:space="preserve">mg/kg espressi come </w:t>
                  </w:r>
                  <w:r>
                    <w:rPr>
                      <w:rFonts w:ascii="Baskerville Old Face" w:eastAsia="Arial Unicode MS" w:hAnsi="Baskerville Old Face"/>
                      <w:sz w:val="20"/>
                      <w:szCs w:val="20"/>
                      <w:lang w:eastAsia="it-IT"/>
                    </w:rPr>
                    <w:lastRenderedPageBreak/>
                    <w:t>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lastRenderedPageBreak/>
                    <w:t>0.5</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50</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 xml:space="preserve">Xilene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0.5</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50</w:t>
                  </w:r>
                </w:p>
              </w:tc>
            </w:tr>
            <w:tr w:rsidR="00FD040E">
              <w:tblPrEx>
                <w:tblCellMar>
                  <w:top w:w="0" w:type="dxa"/>
                  <w:bottom w:w="0" w:type="dxa"/>
                </w:tblCellMar>
              </w:tblPrEx>
              <w:trPr>
                <w:trHeight w:val="695"/>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 xml:space="preserve">Sommatori organici aromatici (da 20 a 23) (2)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100</w:t>
                  </w:r>
                </w:p>
              </w:tc>
            </w:tr>
            <w:tr w:rsidR="00FD040E">
              <w:tblPrEx>
                <w:tblCellMar>
                  <w:top w:w="0" w:type="dxa"/>
                  <w:bottom w:w="0" w:type="dxa"/>
                </w:tblCellMar>
              </w:tblPrEx>
              <w:trPr>
                <w:trHeight w:val="695"/>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 xml:space="preserve">(IDROCARBURI AROMATICI POLICICLICI)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 xml:space="preserve"> </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FD040E">
                  <w:pPr>
                    <w:pBdr>
                      <w:top w:val="single" w:sz="2" w:space="31" w:color="FFFFFF" w:shadow="1"/>
                      <w:left w:val="single" w:sz="2" w:space="31" w:color="FFFFFF" w:shadow="1"/>
                      <w:bottom w:val="single" w:sz="2" w:space="31" w:color="FFFFFF" w:shadow="1"/>
                      <w:right w:val="single" w:sz="2" w:space="31" w:color="FFFFFF" w:shadow="1"/>
                    </w:pBdr>
                    <w:spacing w:after="0" w:line="240" w:lineRule="auto"/>
                    <w:rPr>
                      <w:rFonts w:ascii="Baskerville Old Face" w:eastAsia="Arial Unicode MS" w:hAnsi="Baskerville Old Face"/>
                      <w:sz w:val="20"/>
                      <w:szCs w:val="20"/>
                      <w:lang w:eastAsia="it-IT"/>
                    </w:rPr>
                  </w:pP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FD040E">
                  <w:pPr>
                    <w:pBdr>
                      <w:top w:val="single" w:sz="2" w:space="31" w:color="FFFFFF" w:shadow="1"/>
                      <w:left w:val="single" w:sz="2" w:space="31" w:color="FFFFFF" w:shadow="1"/>
                      <w:bottom w:val="single" w:sz="2" w:space="31" w:color="FFFFFF" w:shadow="1"/>
                      <w:right w:val="single" w:sz="2" w:space="31" w:color="FFFFFF" w:shadow="1"/>
                    </w:pBdr>
                    <w:spacing w:after="0" w:line="240" w:lineRule="auto"/>
                    <w:rPr>
                      <w:rFonts w:ascii="Baskerville Old Face" w:eastAsia="Arial Unicode MS" w:hAnsi="Baskerville Old Face"/>
                      <w:sz w:val="20"/>
                      <w:szCs w:val="20"/>
                      <w:lang w:eastAsia="it-IT"/>
                    </w:rPr>
                  </w:pP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lastRenderedPageBreak/>
                    <w:t xml:space="preserve">Benzo(a)antracene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0.5</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10</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 xml:space="preserve">Benzo(a)pirene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0.1</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10</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 xml:space="preserve">Benzo(b)fluorantene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0.5</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10</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lastRenderedPageBreak/>
                    <w:t xml:space="preserve">Benzo(k,)fluorantene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0.5</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10</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Benzo(g, h, i,)perilene</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0.1</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10</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 xml:space="preserve">Crisene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5</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50</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lastRenderedPageBreak/>
                    <w:t xml:space="preserve">Dibenzo(a,e)pirene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0.1</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10</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 xml:space="preserve">Dibenzo(a,l)pirene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0.1</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10</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 xml:space="preserve">Dibenzo(a,i)pirene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0.1</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10</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lastRenderedPageBreak/>
                    <w:t xml:space="preserve">Dibenzo(a,h)pirene.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0.1</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10</w:t>
                  </w:r>
                </w:p>
              </w:tc>
            </w:tr>
            <w:tr w:rsidR="00FD040E">
              <w:tblPrEx>
                <w:tblCellMar>
                  <w:top w:w="0" w:type="dxa"/>
                  <w:bottom w:w="0" w:type="dxa"/>
                </w:tblCellMar>
              </w:tblPrEx>
              <w:trPr>
                <w:trHeight w:val="458"/>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Dibenzo(a,h) antracene</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0.1</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10</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Indenopirene</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0.1</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5</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lastRenderedPageBreak/>
                    <w:t>Pirene</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5</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50</w:t>
                  </w:r>
                </w:p>
              </w:tc>
            </w:tr>
            <w:tr w:rsidR="00FD040E">
              <w:tblPrEx>
                <w:tblCellMar>
                  <w:top w:w="0" w:type="dxa"/>
                  <w:bottom w:w="0" w:type="dxa"/>
                </w:tblCellMar>
              </w:tblPrEx>
              <w:trPr>
                <w:trHeight w:val="695"/>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 xml:space="preserve">Sommatoria policiclici aromatici (da 25 a 34) (3)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mg/kg espressi come sostanza secca</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10</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100</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3"/>
                  </w:pPr>
                  <w:r>
                    <w:rPr>
                      <w:rFonts w:ascii="Baskerville Old Face" w:eastAsia="Arial Unicode MS" w:hAnsi="Baskerville Old Face"/>
                      <w:sz w:val="20"/>
                      <w:szCs w:val="20"/>
                      <w:lang w:eastAsia="it-IT"/>
                    </w:rPr>
                    <w:t xml:space="preserve">Fenolo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 xml:space="preserve">mg/kg espressi come sostanza secca </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60</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5"/>
                  </w:pPr>
                  <w:r>
                    <w:rPr>
                      <w:rFonts w:ascii="Baskerville Old Face" w:eastAsia="Arial Unicode MS" w:hAnsi="Baskerville Old Face"/>
                      <w:sz w:val="20"/>
                      <w:szCs w:val="20"/>
                      <w:lang w:eastAsia="it-IT"/>
                    </w:rPr>
                    <w:t xml:space="preserve">PCB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 xml:space="preserve">mg/kg espressi come sostanza secca </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2"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2"/>
                    <w:jc w:val="center"/>
                  </w:pPr>
                  <w:r>
                    <w:rPr>
                      <w:rFonts w:ascii="Baskerville Old Face" w:eastAsia="Arial Unicode MS" w:hAnsi="Baskerville Old Face"/>
                      <w:sz w:val="20"/>
                      <w:szCs w:val="20"/>
                      <w:lang w:eastAsia="it-IT"/>
                    </w:rPr>
                    <w:t>0.06</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2"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2"/>
                    <w:jc w:val="center"/>
                  </w:pPr>
                  <w:r>
                    <w:rPr>
                      <w:rFonts w:ascii="Baskerville Old Face" w:eastAsia="Arial Unicode MS" w:hAnsi="Baskerville Old Face"/>
                      <w:sz w:val="20"/>
                      <w:szCs w:val="20"/>
                      <w:lang w:eastAsia="it-IT"/>
                    </w:rPr>
                    <w:t>5</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6"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6"/>
                  </w:pPr>
                  <w:r>
                    <w:rPr>
                      <w:rFonts w:ascii="Baskerville Old Face" w:eastAsia="Arial Unicode MS" w:hAnsi="Baskerville Old Face"/>
                      <w:sz w:val="20"/>
                      <w:szCs w:val="20"/>
                      <w:lang w:eastAsia="it-IT"/>
                    </w:rPr>
                    <w:t xml:space="preserve">C&gt;12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 xml:space="preserve">mg/kg espressi come sostanza secca </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50</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750</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2"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2"/>
                  </w:pPr>
                  <w:r>
                    <w:rPr>
                      <w:rFonts w:ascii="Baskerville Old Face" w:eastAsia="Arial Unicode MS" w:hAnsi="Baskerville Old Face"/>
                      <w:sz w:val="20"/>
                      <w:szCs w:val="20"/>
                      <w:lang w:eastAsia="it-IT"/>
                    </w:rPr>
                    <w:t xml:space="preserve">Cr VI </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pPr>
                  <w:r>
                    <w:rPr>
                      <w:rFonts w:ascii="Baskerville Old Face" w:eastAsia="Arial Unicode MS" w:hAnsi="Baskerville Old Face"/>
                      <w:sz w:val="20"/>
                      <w:szCs w:val="20"/>
                      <w:lang w:eastAsia="it-IT"/>
                    </w:rPr>
                    <w:t xml:space="preserve">mg/kg espressi come sostanza secca </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2</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15</w:t>
                  </w:r>
                </w:p>
              </w:tc>
            </w:tr>
            <w:tr w:rsidR="00FD040E">
              <w:tblPrEx>
                <w:tblCellMar>
                  <w:top w:w="0" w:type="dxa"/>
                  <w:bottom w:w="0" w:type="dxa"/>
                </w:tblCellMar>
              </w:tblPrEx>
              <w:trPr>
                <w:trHeight w:val="458"/>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129" w:type="dxa"/>
                    <w:bottom w:w="80" w:type="dxa"/>
                    <w:right w:w="80"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left="49"/>
                  </w:pPr>
                  <w:r>
                    <w:rPr>
                      <w:rFonts w:ascii="Baskerville Old Face" w:eastAsia="Arial Unicode MS" w:hAnsi="Baskerville Old Face"/>
                      <w:sz w:val="20"/>
                      <w:szCs w:val="20"/>
                      <w:lang w:eastAsia="it-IT"/>
                    </w:rPr>
                    <w:t xml:space="preserve">Materiali galleggianti </w:t>
                  </w:r>
                  <w:r>
                    <w:rPr>
                      <w:rFonts w:ascii="Baskerville Old Face" w:eastAsia="Arial Unicode MS" w:hAnsi="Baskerville Old Face"/>
                      <w:i/>
                      <w:iCs/>
                      <w:sz w:val="20"/>
                      <w:szCs w:val="20"/>
                      <w:lang w:eastAsia="it-IT"/>
                    </w:rPr>
                    <w:t>(4)</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8"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8"/>
                  </w:pPr>
                  <w:r>
                    <w:rPr>
                      <w:rFonts w:ascii="Baskerville Old Face" w:eastAsia="Arial Unicode MS" w:hAnsi="Baskerville Old Face"/>
                      <w:sz w:val="20"/>
                      <w:szCs w:val="20"/>
                      <w:lang w:eastAsia="it-IT"/>
                    </w:rPr>
                    <w:t>cm</w:t>
                  </w:r>
                  <w:r>
                    <w:rPr>
                      <w:rFonts w:ascii="Baskerville Old Face" w:eastAsia="Arial Unicode MS" w:hAnsi="Baskerville Old Face"/>
                      <w:sz w:val="20"/>
                      <w:szCs w:val="20"/>
                      <w:vertAlign w:val="superscript"/>
                      <w:lang w:eastAsia="it-IT"/>
                    </w:rPr>
                    <w:t>3</w:t>
                  </w:r>
                  <w:r>
                    <w:rPr>
                      <w:rFonts w:ascii="Baskerville Old Face" w:eastAsia="Arial Unicode MS" w:hAnsi="Baskerville Old Face"/>
                      <w:sz w:val="20"/>
                      <w:szCs w:val="20"/>
                      <w:lang w:eastAsia="it-IT"/>
                    </w:rPr>
                    <w:t xml:space="preserve">/kg </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&lt;5</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5"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5"/>
                    <w:jc w:val="center"/>
                  </w:pPr>
                  <w:r>
                    <w:rPr>
                      <w:rFonts w:ascii="Baskerville Old Face" w:eastAsia="Arial Unicode MS" w:hAnsi="Baskerville Old Face"/>
                      <w:sz w:val="20"/>
                      <w:szCs w:val="20"/>
                      <w:lang w:eastAsia="it-IT"/>
                    </w:rPr>
                    <w:t>&lt;5</w:t>
                  </w:r>
                </w:p>
              </w:tc>
            </w:tr>
            <w:tr w:rsidR="00FD040E">
              <w:tblPrEx>
                <w:tblCellMar>
                  <w:top w:w="0" w:type="dxa"/>
                  <w:bottom w:w="0" w:type="dxa"/>
                </w:tblCellMar>
              </w:tblPrEx>
              <w:trPr>
                <w:trHeight w:val="222"/>
                <w:jc w:val="center"/>
              </w:trPr>
              <w:tc>
                <w:tcPr>
                  <w:tcW w:w="19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44"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64"/>
                  </w:pPr>
                  <w:r>
                    <w:rPr>
                      <w:rFonts w:ascii="Baskerville Old Face" w:eastAsia="Arial Unicode MS" w:hAnsi="Baskerville Old Face"/>
                      <w:sz w:val="20"/>
                      <w:szCs w:val="20"/>
                      <w:lang w:eastAsia="it-IT"/>
                    </w:rPr>
                    <w:t xml:space="preserve">Frazioni estranee </w:t>
                  </w:r>
                  <w:r>
                    <w:rPr>
                      <w:rFonts w:ascii="Baskerville Old Face" w:eastAsia="Arial Unicode MS" w:hAnsi="Baskerville Old Face"/>
                      <w:i/>
                      <w:iCs/>
                      <w:sz w:val="20"/>
                      <w:szCs w:val="20"/>
                      <w:lang w:eastAsia="it-IT"/>
                    </w:rPr>
                    <w:t>(4)</w:t>
                  </w:r>
                </w:p>
              </w:tc>
              <w:tc>
                <w:tcPr>
                  <w:tcW w:w="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6"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6"/>
                  </w:pPr>
                  <w:r>
                    <w:rPr>
                      <w:rFonts w:ascii="Baskerville Old Face" w:eastAsia="Arial Unicode MS" w:hAnsi="Baskerville Old Face"/>
                      <w:sz w:val="20"/>
                      <w:szCs w:val="20"/>
                      <w:lang w:eastAsia="it-IT"/>
                    </w:rPr>
                    <w:t xml:space="preserve">% in peso </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3"/>
                    <w:jc w:val="center"/>
                  </w:pPr>
                  <w:r>
                    <w:rPr>
                      <w:rFonts w:ascii="Baskerville Old Face" w:eastAsia="Arial Unicode MS" w:hAnsi="Baskerville Old Face"/>
                      <w:sz w:val="20"/>
                      <w:szCs w:val="20"/>
                      <w:lang w:eastAsia="it-IT"/>
                    </w:rPr>
                    <w:t>&lt;1%</w:t>
                  </w:r>
                </w:p>
              </w:tc>
              <w:tc>
                <w:tcPr>
                  <w:tcW w:w="120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133" w:type="dxa"/>
                  </w:tcMar>
                  <w:vAlign w:val="center"/>
                </w:tcPr>
                <w:p w:rsidR="00FD040E" w:rsidRDefault="00000000">
                  <w:pPr>
                    <w:pBdr>
                      <w:top w:val="single" w:sz="2" w:space="31" w:color="FFFFFF" w:shadow="1"/>
                      <w:left w:val="single" w:sz="2" w:space="31" w:color="FFFFFF" w:shadow="1"/>
                      <w:bottom w:val="single" w:sz="2" w:space="31" w:color="FFFFFF" w:shadow="1"/>
                      <w:right w:val="single" w:sz="2" w:space="31" w:color="FFFFFF" w:shadow="1"/>
                    </w:pBdr>
                    <w:ind w:right="53"/>
                    <w:jc w:val="center"/>
                  </w:pPr>
                  <w:r>
                    <w:rPr>
                      <w:rFonts w:ascii="Baskerville Old Face" w:eastAsia="Arial Unicode MS" w:hAnsi="Baskerville Old Face"/>
                      <w:sz w:val="20"/>
                      <w:szCs w:val="20"/>
                      <w:lang w:eastAsia="it-IT"/>
                    </w:rPr>
                    <w:t>&lt;1%</w:t>
                  </w:r>
                </w:p>
              </w:tc>
            </w:tr>
          </w:tbl>
          <w:p w:rsidR="00FD040E" w:rsidRDefault="00000000">
            <w:pPr>
              <w:tabs>
                <w:tab w:val="center" w:pos="2878"/>
              </w:tabs>
              <w:spacing w:after="120" w:line="240" w:lineRule="auto"/>
              <w:jc w:val="both"/>
              <w:rPr>
                <w:rFonts w:ascii="Baskerville Old Face" w:hAnsi="Baskerville Old Face"/>
                <w:i/>
                <w:iCs/>
                <w:sz w:val="20"/>
                <w:szCs w:val="20"/>
              </w:rPr>
            </w:pPr>
            <w:bookmarkStart w:id="21" w:name="_Hlk132891777"/>
            <w:bookmarkEnd w:id="20"/>
            <w:r>
              <w:rPr>
                <w:rFonts w:ascii="Baskerville Old Face" w:hAnsi="Baskerville Old Face"/>
                <w:i/>
                <w:iCs/>
                <w:sz w:val="20"/>
                <w:szCs w:val="20"/>
              </w:rPr>
              <w:t xml:space="preserve">(1) Corrispondente al limite di rilevabilità della tecnica analitica (microscopia e/o equivalenti in termini di rilevabilità). In ogni caso dovrà utilizzarsi la metodologia ufficialmente riconosciuta per tutto il territorio nazionale che consenta di rilevare valori di concentrazione inferiori. </w:t>
            </w:r>
          </w:p>
          <w:p w:rsidR="00FD040E" w:rsidRDefault="00000000">
            <w:pPr>
              <w:tabs>
                <w:tab w:val="center" w:pos="2878"/>
              </w:tabs>
              <w:spacing w:after="120" w:line="240" w:lineRule="auto"/>
              <w:jc w:val="both"/>
              <w:rPr>
                <w:rFonts w:ascii="Baskerville Old Face" w:hAnsi="Baskerville Old Face"/>
                <w:i/>
                <w:iCs/>
                <w:sz w:val="20"/>
                <w:szCs w:val="20"/>
              </w:rPr>
            </w:pPr>
            <w:r>
              <w:rPr>
                <w:rFonts w:ascii="Baskerville Old Face" w:hAnsi="Baskerville Old Face"/>
                <w:i/>
                <w:iCs/>
                <w:sz w:val="20"/>
                <w:szCs w:val="20"/>
              </w:rPr>
              <w:t xml:space="preserve">(2) Sommatoria organici aromatici (da 20 a 23):20-Etilbenzene, 21-Stirene, 22-Toluene, 23-Xilene, secondo la  numerazione  di  cui all'Allegato 5 alla parte quarta del  decreto  legislativo  3  aprile 2006, n. 152.      </w:t>
            </w:r>
          </w:p>
          <w:p w:rsidR="00FD040E" w:rsidRDefault="00000000">
            <w:pPr>
              <w:tabs>
                <w:tab w:val="center" w:pos="2878"/>
              </w:tabs>
              <w:spacing w:after="60" w:line="240" w:lineRule="auto"/>
              <w:jc w:val="both"/>
              <w:rPr>
                <w:rFonts w:ascii="Baskerville Old Face" w:hAnsi="Baskerville Old Face"/>
                <w:i/>
                <w:iCs/>
                <w:sz w:val="20"/>
                <w:szCs w:val="20"/>
              </w:rPr>
            </w:pPr>
            <w:bookmarkStart w:id="22" w:name="_Hlk132891789"/>
            <w:bookmarkEnd w:id="21"/>
            <w:r>
              <w:rPr>
                <w:rFonts w:ascii="Baskerville Old Face" w:hAnsi="Baskerville Old Face"/>
                <w:i/>
                <w:iCs/>
                <w:sz w:val="20"/>
                <w:szCs w:val="20"/>
              </w:rPr>
              <w:t xml:space="preserve">(3) Sommatoria policiclici aromatici   (da  25  a  34): 25-Benzo(a)antracene, 26-Benzo(a)pirene, 27-Benzo(b)fluorantene, 28-Benzo(k,)fluoranten, 29-Benzo(g,h,i,)perilene, 30-Crisene, 31-Dibenzo(a,e)pirene, 32- Dibenzo(a,l)pirene, 33-Dibenzo(a,i)pirene, 34-Dibenzo(a,h)pirene, secondo la numerazione di cui  all'Allegato  5 alla parte quarta del decreto legislativo 3 aprile 2006, n. 152. </w:t>
            </w:r>
          </w:p>
          <w:p w:rsidR="00FD040E" w:rsidRDefault="00000000">
            <w:pPr>
              <w:tabs>
                <w:tab w:val="center" w:pos="2878"/>
              </w:tabs>
              <w:spacing w:after="0" w:line="240" w:lineRule="auto"/>
              <w:jc w:val="both"/>
              <w:rPr>
                <w:rFonts w:ascii="Baskerville Old Face" w:hAnsi="Baskerville Old Face"/>
                <w:i/>
                <w:iCs/>
                <w:sz w:val="20"/>
                <w:szCs w:val="20"/>
              </w:rPr>
            </w:pPr>
            <w:r>
              <w:rPr>
                <w:rFonts w:ascii="Baskerville Old Face" w:hAnsi="Baskerville Old Face"/>
                <w:i/>
                <w:iCs/>
                <w:sz w:val="20"/>
                <w:szCs w:val="20"/>
              </w:rPr>
              <w:t xml:space="preserve">(4) Ove non definito da standard tecnici applicabili. </w:t>
            </w:r>
          </w:p>
          <w:bookmarkEnd w:id="22"/>
          <w:p w:rsidR="00FD040E" w:rsidRDefault="00FD040E">
            <w:pPr>
              <w:pStyle w:val="PreformattatoHTML"/>
              <w:tabs>
                <w:tab w:val="clear" w:pos="10076"/>
                <w:tab w:val="clear" w:pos="10992"/>
                <w:tab w:val="clear" w:pos="11908"/>
                <w:tab w:val="clear" w:pos="12824"/>
                <w:tab w:val="clear" w:pos="13740"/>
                <w:tab w:val="clear" w:pos="14656"/>
                <w:tab w:val="left" w:pos="9700"/>
                <w:tab w:val="left" w:pos="9700"/>
                <w:tab w:val="left" w:pos="9700"/>
                <w:tab w:val="left" w:pos="9700"/>
                <w:tab w:val="left" w:pos="9700"/>
                <w:tab w:val="left" w:pos="9700"/>
              </w:tabs>
              <w:rPr>
                <w:rFonts w:ascii="Baskerville Old Face" w:hAnsi="Baskerville Old Face"/>
                <w:color w:val="auto"/>
              </w:rPr>
            </w:pPr>
          </w:p>
          <w:p w:rsidR="00FD040E" w:rsidRDefault="00000000">
            <w:pPr>
              <w:pStyle w:val="PreformattatoHTML"/>
              <w:rPr>
                <w:rFonts w:ascii="Baskerville Old Face" w:hAnsi="Baskerville Old Face"/>
                <w:b/>
                <w:bCs/>
              </w:rPr>
            </w:pPr>
            <w:bookmarkStart w:id="23" w:name="_Hlk132891807"/>
            <w:r>
              <w:rPr>
                <w:rFonts w:ascii="Baskerville Old Face" w:hAnsi="Baskerville Old Face"/>
                <w:b/>
                <w:bCs/>
              </w:rPr>
              <w:t xml:space="preserve">Tabella 2 a) - Parametri da ricercare e valori limite   </w:t>
            </w:r>
          </w:p>
          <w:tbl>
            <w:tblPr>
              <w:tblW w:w="5000" w:type="pct"/>
              <w:tblCellMar>
                <w:left w:w="10" w:type="dxa"/>
                <w:right w:w="10" w:type="dxa"/>
              </w:tblCellMar>
              <w:tblLook w:val="0000" w:firstRow="0" w:lastRow="0" w:firstColumn="0" w:lastColumn="0" w:noHBand="0" w:noVBand="0"/>
            </w:tblPr>
            <w:tblGrid>
              <w:gridCol w:w="1545"/>
              <w:gridCol w:w="2217"/>
              <w:gridCol w:w="2043"/>
            </w:tblGrid>
            <w:tr w:rsidR="00FD040E">
              <w:tblPrEx>
                <w:tblCellMar>
                  <w:top w:w="0" w:type="dxa"/>
                  <w:bottom w:w="0" w:type="dxa"/>
                </w:tblCellMar>
              </w:tblPrEx>
              <w:trPr>
                <w:trHeight w:val="452"/>
              </w:trPr>
              <w:tc>
                <w:tcPr>
                  <w:tcW w:w="1545"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pPr>
                  <w:bookmarkStart w:id="24" w:name="_Hlk132891818"/>
                  <w:bookmarkEnd w:id="23"/>
                  <w:r>
                    <w:rPr>
                      <w:rFonts w:ascii="Baskerville Old Face" w:hAnsi="Baskerville Old Face"/>
                      <w:b/>
                      <w:bCs/>
                    </w:rPr>
                    <w:t>Parametri</w:t>
                  </w:r>
                </w:p>
              </w:tc>
              <w:tc>
                <w:tcPr>
                  <w:tcW w:w="2217"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pPr>
                  <w:r>
                    <w:rPr>
                      <w:rFonts w:ascii="Baskerville Old Face" w:hAnsi="Baskerville Old Face"/>
                      <w:b/>
                      <w:bCs/>
                    </w:rPr>
                    <w:t>Unità di misura</w:t>
                  </w:r>
                </w:p>
              </w:tc>
              <w:tc>
                <w:tcPr>
                  <w:tcW w:w="2043"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pPr>
                  <w:r>
                    <w:rPr>
                      <w:rFonts w:ascii="Baskerville Old Face" w:hAnsi="Baskerville Old Face"/>
                      <w:b/>
                      <w:bCs/>
                    </w:rPr>
                    <w:t>Valore limite</w:t>
                  </w:r>
                </w:p>
              </w:tc>
            </w:tr>
            <w:tr w:rsidR="00FD040E">
              <w:tblPrEx>
                <w:tblCellMar>
                  <w:top w:w="0" w:type="dxa"/>
                  <w:bottom w:w="0" w:type="dxa"/>
                </w:tblCellMar>
              </w:tblPrEx>
              <w:trPr>
                <w:trHeight w:val="452"/>
              </w:trPr>
              <w:tc>
                <w:tcPr>
                  <w:tcW w:w="1545"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Amianto</w:t>
                  </w:r>
                </w:p>
              </w:tc>
              <w:tc>
                <w:tcPr>
                  <w:tcW w:w="2217"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mg/kg espressi come sostanza secca</w:t>
                  </w:r>
                </w:p>
              </w:tc>
              <w:tc>
                <w:tcPr>
                  <w:tcW w:w="2043"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pPr>
                  <w:r>
                    <w:rPr>
                      <w:rFonts w:ascii="Baskerville Old Face" w:hAnsi="Baskerville Old Face"/>
                    </w:rPr>
                    <w:t>100</w:t>
                  </w:r>
                  <w:r>
                    <w:rPr>
                      <w:rFonts w:ascii="Baskerville Old Face" w:hAnsi="Baskerville Old Face"/>
                      <w:vertAlign w:val="superscript"/>
                    </w:rPr>
                    <w:t>1</w:t>
                  </w:r>
                </w:p>
              </w:tc>
            </w:tr>
            <w:tr w:rsidR="00FD040E">
              <w:tblPrEx>
                <w:tblCellMar>
                  <w:top w:w="0" w:type="dxa"/>
                  <w:bottom w:w="0" w:type="dxa"/>
                </w:tblCellMar>
              </w:tblPrEx>
              <w:trPr>
                <w:trHeight w:val="381"/>
              </w:trPr>
              <w:tc>
                <w:tcPr>
                  <w:tcW w:w="1545"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Sostanze organiche (TOC)</w:t>
                  </w:r>
                </w:p>
              </w:tc>
              <w:tc>
                <w:tcPr>
                  <w:tcW w:w="2217"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 espresso come sostanza secca</w:t>
                  </w:r>
                </w:p>
              </w:tc>
              <w:tc>
                <w:tcPr>
                  <w:tcW w:w="2043"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2</w:t>
                  </w:r>
                </w:p>
              </w:tc>
            </w:tr>
            <w:tr w:rsidR="00FD040E">
              <w:tblPrEx>
                <w:tblCellMar>
                  <w:top w:w="0" w:type="dxa"/>
                  <w:bottom w:w="0" w:type="dxa"/>
                </w:tblCellMar>
              </w:tblPrEx>
              <w:trPr>
                <w:trHeight w:val="452"/>
              </w:trPr>
              <w:tc>
                <w:tcPr>
                  <w:tcW w:w="1545"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Mercurio</w:t>
                  </w:r>
                </w:p>
              </w:tc>
              <w:tc>
                <w:tcPr>
                  <w:tcW w:w="2217"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mg/kg espressi come sostanza secca</w:t>
                  </w:r>
                </w:p>
              </w:tc>
              <w:tc>
                <w:tcPr>
                  <w:tcW w:w="2043"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1</w:t>
                  </w:r>
                </w:p>
              </w:tc>
            </w:tr>
            <w:tr w:rsidR="00FD040E">
              <w:tblPrEx>
                <w:tblCellMar>
                  <w:top w:w="0" w:type="dxa"/>
                  <w:bottom w:w="0" w:type="dxa"/>
                </w:tblCellMar>
              </w:tblPrEx>
              <w:trPr>
                <w:trHeight w:val="452"/>
              </w:trPr>
              <w:tc>
                <w:tcPr>
                  <w:tcW w:w="1545"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Sommatoria Tallio+Cadmio</w:t>
                  </w:r>
                </w:p>
              </w:tc>
              <w:tc>
                <w:tcPr>
                  <w:tcW w:w="2217"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mg/kg espressi come sostanza secca</w:t>
                  </w:r>
                </w:p>
              </w:tc>
              <w:tc>
                <w:tcPr>
                  <w:tcW w:w="2043"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5</w:t>
                  </w:r>
                </w:p>
              </w:tc>
            </w:tr>
            <w:tr w:rsidR="00FD040E">
              <w:tblPrEx>
                <w:tblCellMar>
                  <w:top w:w="0" w:type="dxa"/>
                  <w:bottom w:w="0" w:type="dxa"/>
                </w:tblCellMar>
              </w:tblPrEx>
              <w:trPr>
                <w:trHeight w:val="381"/>
              </w:trPr>
              <w:tc>
                <w:tcPr>
                  <w:tcW w:w="1545"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Cloruri come Cl</w:t>
                  </w:r>
                </w:p>
              </w:tc>
              <w:tc>
                <w:tcPr>
                  <w:tcW w:w="2217"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 espresso come sostanza secca</w:t>
                  </w:r>
                </w:p>
              </w:tc>
              <w:tc>
                <w:tcPr>
                  <w:tcW w:w="2043"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0,5</w:t>
                  </w:r>
                </w:p>
              </w:tc>
            </w:tr>
            <w:tr w:rsidR="00FD040E">
              <w:tblPrEx>
                <w:tblCellMar>
                  <w:top w:w="0" w:type="dxa"/>
                  <w:bottom w:w="0" w:type="dxa"/>
                </w:tblCellMar>
              </w:tblPrEx>
              <w:trPr>
                <w:trHeight w:val="381"/>
              </w:trPr>
              <w:tc>
                <w:tcPr>
                  <w:tcW w:w="1545"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pPr>
                  <w:r>
                    <w:rPr>
                      <w:rFonts w:ascii="Baskerville Old Face" w:hAnsi="Baskerville Old Face"/>
                    </w:rPr>
                    <w:t>Solfati come SO</w:t>
                  </w:r>
                  <w:r>
                    <w:rPr>
                      <w:rFonts w:ascii="Baskerville Old Face" w:hAnsi="Baskerville Old Face"/>
                      <w:vertAlign w:val="subscript"/>
                    </w:rPr>
                    <w:t>3</w:t>
                  </w:r>
                </w:p>
              </w:tc>
              <w:tc>
                <w:tcPr>
                  <w:tcW w:w="2217"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 espresso come sostanza secca</w:t>
                  </w:r>
                </w:p>
              </w:tc>
              <w:tc>
                <w:tcPr>
                  <w:tcW w:w="2043"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2</w:t>
                  </w:r>
                </w:p>
              </w:tc>
            </w:tr>
            <w:tr w:rsidR="00FD040E">
              <w:tblPrEx>
                <w:tblCellMar>
                  <w:top w:w="0" w:type="dxa"/>
                  <w:bottom w:w="0" w:type="dxa"/>
                </w:tblCellMar>
              </w:tblPrEx>
              <w:trPr>
                <w:trHeight w:val="381"/>
              </w:trPr>
              <w:tc>
                <w:tcPr>
                  <w:tcW w:w="1545"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Magnesio come MgO</w:t>
                  </w:r>
                </w:p>
              </w:tc>
              <w:tc>
                <w:tcPr>
                  <w:tcW w:w="2217"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 espresso come sostanza secca</w:t>
                  </w:r>
                </w:p>
              </w:tc>
              <w:tc>
                <w:tcPr>
                  <w:tcW w:w="2043" w:type="dxa"/>
                  <w:tcBorders>
                    <w:top w:val="single" w:sz="8" w:space="0" w:color="4D3E2F"/>
                    <w:left w:val="single" w:sz="8" w:space="0" w:color="4D3E2F"/>
                    <w:bottom w:val="single" w:sz="8" w:space="0" w:color="4D3E2F"/>
                    <w:right w:val="single" w:sz="8" w:space="0" w:color="4D3E2F"/>
                  </w:tcBorders>
                  <w:shd w:val="clear" w:color="auto" w:fill="auto"/>
                  <w:tcMar>
                    <w:top w:w="80" w:type="dxa"/>
                    <w:left w:w="80" w:type="dxa"/>
                    <w:bottom w:w="80" w:type="dxa"/>
                    <w:right w:w="80" w:type="dxa"/>
                  </w:tcMar>
                </w:tcPr>
                <w:p w:rsidR="00FD040E" w:rsidRDefault="00000000">
                  <w:pPr>
                    <w:pStyle w:val="PreformattatoHTML"/>
                    <w:tabs>
                      <w:tab w:val="left" w:pos="9700"/>
                      <w:tab w:val="left" w:pos="9700"/>
                      <w:tab w:val="left" w:pos="9700"/>
                      <w:tab w:val="left" w:pos="9700"/>
                      <w:tab w:val="left" w:pos="9700"/>
                      <w:tab w:val="left" w:pos="9700"/>
                    </w:tabs>
                    <w:rPr>
                      <w:rFonts w:ascii="Baskerville Old Face" w:hAnsi="Baskerville Old Face"/>
                    </w:rPr>
                  </w:pPr>
                  <w:r>
                    <w:rPr>
                      <w:rFonts w:ascii="Baskerville Old Face" w:hAnsi="Baskerville Old Face"/>
                    </w:rPr>
                    <w:t>15</w:t>
                  </w:r>
                </w:p>
              </w:tc>
            </w:tr>
          </w:tbl>
          <w:bookmarkEnd w:id="24"/>
          <w:p w:rsidR="00FD040E" w:rsidRDefault="00000000">
            <w:pPr>
              <w:pStyle w:val="PreformattatoHTML"/>
              <w:jc w:val="both"/>
              <w:rPr>
                <w:rFonts w:ascii="Baskerville Old Face" w:hAnsi="Baskerville Old Face"/>
                <w:i/>
                <w:iCs/>
              </w:rPr>
            </w:pPr>
            <w:r>
              <w:rPr>
                <w:rFonts w:ascii="Baskerville Old Face" w:hAnsi="Baskerville Old Face"/>
                <w:i/>
                <w:iCs/>
              </w:rPr>
              <w:t>(</w:t>
            </w:r>
            <w:bookmarkStart w:id="25" w:name="_Hlk132891839"/>
            <w:r>
              <w:rPr>
                <w:rFonts w:ascii="Baskerville Old Face" w:hAnsi="Baskerville Old Face"/>
                <w:i/>
                <w:iCs/>
              </w:rPr>
              <w:t>1) Corrispondente al limite di rilevabilità della tecnica analitica (microscopia e/o equivalenti in termini di rilevabilità). In ogni caso dovrà utilizzarsi la metodologia ufficialmente riconosciuta per tutto il territorio nazionale che consenta di rilevare valori di concentrazione inferiori.</w:t>
            </w:r>
          </w:p>
          <w:bookmarkEnd w:id="25"/>
          <w:p w:rsidR="00FD040E" w:rsidRDefault="00FD040E">
            <w:pPr>
              <w:spacing w:before="120" w:after="120" w:line="240" w:lineRule="auto"/>
              <w:jc w:val="both"/>
              <w:rPr>
                <w:rFonts w:ascii="Baskerville Old Face" w:hAnsi="Baskerville Old Face" w:cs="Calibri"/>
                <w:sz w:val="20"/>
                <w:szCs w:val="20"/>
              </w:rPr>
            </w:pP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spacing w:before="120" w:after="120" w:line="240" w:lineRule="auto"/>
              <w:jc w:val="both"/>
              <w:rPr>
                <w:rFonts w:ascii="Baskerville Old Face" w:hAnsi="Baskerville Old Face" w:cs="Calibri"/>
                <w:b/>
                <w:bCs/>
                <w:sz w:val="20"/>
                <w:szCs w:val="20"/>
              </w:rPr>
            </w:pPr>
            <w:bookmarkStart w:id="26" w:name="_Hlk132891859"/>
            <w:r>
              <w:rPr>
                <w:rFonts w:ascii="Baskerville Old Face" w:hAnsi="Baskerville Old Face" w:cs="Calibri"/>
                <w:b/>
                <w:bCs/>
                <w:sz w:val="20"/>
                <w:szCs w:val="20"/>
              </w:rPr>
              <w:lastRenderedPageBreak/>
              <w:t>d.2) Test di cessione sull’aggregato recuperato</w:t>
            </w:r>
          </w:p>
          <w:p w:rsidR="00FD040E" w:rsidRDefault="00000000">
            <w:pPr>
              <w:spacing w:before="120" w:after="120" w:line="240" w:lineRule="auto"/>
              <w:jc w:val="both"/>
              <w:rPr>
                <w:rFonts w:ascii="Baskerville Old Face" w:hAnsi="Baskerville Old Face" w:cs="Calibri"/>
                <w:sz w:val="20"/>
                <w:szCs w:val="20"/>
              </w:rPr>
            </w:pPr>
            <w:bookmarkStart w:id="27" w:name="_Hlk132891872"/>
            <w:bookmarkEnd w:id="26"/>
            <w:r>
              <w:rPr>
                <w:rFonts w:ascii="Baskerville Old Face" w:hAnsi="Baskerville Old Face" w:cs="Calibri"/>
                <w:sz w:val="20"/>
                <w:szCs w:val="20"/>
              </w:rPr>
              <w:t>Ogni lotto di aggregato recuperato prodotto deve essere sottoposto all’esecuzione del test di cessione per valutare il rispetto delle concentrazioni limite dei parametri individuati in tabella 3. Sono esclusi dal test di cessione i lotti di aggregato recuperato prodotto destinati al confezionamento di calcestruzzi di cui alla NTC 2018 con classe di resistenza C 12/15. Sono altresì esclusi i lotti di aggregato recuperati prodotti destinati alla produzione di clinker per cemento</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Per la determinazione del test di cessione si applica l'appendice A alla norma Uni 10802 e la metodica prevista dalla norma Uni En 12457-2.</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Solo nei casi in cui il campione da analizzare presenti una granulometria molto fine, si deve utilizzare, senza procedere alla fase di sedimentazione naturale, una ultracentrifuga (20000 G) per almeno 10 minuti.</w:t>
            </w:r>
          </w:p>
          <w:p w:rsidR="00FD040E" w:rsidRDefault="00000000">
            <w:pPr>
              <w:spacing w:before="120" w:after="120" w:line="240" w:lineRule="auto"/>
              <w:jc w:val="both"/>
              <w:rPr>
                <w:rFonts w:ascii="Baskerville Old Face" w:hAnsi="Baskerville Old Face" w:cs="Calibri"/>
                <w:sz w:val="20"/>
                <w:szCs w:val="20"/>
              </w:rPr>
            </w:pPr>
            <w:r>
              <w:rPr>
                <w:rFonts w:ascii="Baskerville Old Face" w:hAnsi="Baskerville Old Face" w:cs="Calibri"/>
                <w:sz w:val="20"/>
                <w:szCs w:val="20"/>
              </w:rPr>
              <w:t>Solo dopo tale fase si può procedere alla successiva fase di filtrazione secondo quanto riportato al punto 5.2.2della norma Uni En 12457-2.</w:t>
            </w:r>
            <w:bookmarkStart w:id="28" w:name="_Hlk132891884"/>
          </w:p>
          <w:bookmarkEnd w:id="27"/>
          <w:p w:rsidR="00FD040E" w:rsidRDefault="00000000">
            <w:pPr>
              <w:spacing w:before="120" w:after="120" w:line="240" w:lineRule="auto"/>
              <w:jc w:val="both"/>
              <w:rPr>
                <w:rFonts w:ascii="Baskerville Old Face" w:hAnsi="Baskerville Old Face" w:cs="Calibri"/>
                <w:b/>
                <w:i/>
                <w:iCs/>
                <w:sz w:val="20"/>
                <w:szCs w:val="20"/>
              </w:rPr>
            </w:pPr>
            <w:r>
              <w:rPr>
                <w:rFonts w:ascii="Baskerville Old Face" w:hAnsi="Baskerville Old Face" w:cs="Calibri"/>
                <w:b/>
                <w:i/>
                <w:iCs/>
                <w:sz w:val="20"/>
                <w:szCs w:val="20"/>
              </w:rPr>
              <w:t>Tabella 3 — Analiti da ricercare e valori limite</w:t>
            </w:r>
          </w:p>
          <w:tbl>
            <w:tblPr>
              <w:tblW w:w="3685" w:type="dxa"/>
              <w:tblInd w:w="29" w:type="dxa"/>
              <w:tblCellMar>
                <w:left w:w="10" w:type="dxa"/>
                <w:right w:w="10" w:type="dxa"/>
              </w:tblCellMar>
              <w:tblLook w:val="0000" w:firstRow="0" w:lastRow="0" w:firstColumn="0" w:lastColumn="0" w:noHBand="0" w:noVBand="0"/>
            </w:tblPr>
            <w:tblGrid>
              <w:gridCol w:w="1016"/>
              <w:gridCol w:w="1411"/>
              <w:gridCol w:w="1447"/>
            </w:tblGrid>
            <w:tr w:rsidR="00FD040E">
              <w:tblPrEx>
                <w:tblCellMar>
                  <w:top w:w="0" w:type="dxa"/>
                  <w:bottom w:w="0" w:type="dxa"/>
                </w:tblCellMar>
              </w:tblPrEx>
              <w:trPr>
                <w:trHeight w:val="366"/>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9"/>
                    <w:jc w:val="center"/>
                  </w:pPr>
                  <w:bookmarkStart w:id="29" w:name="_Hlk132891901"/>
                  <w:bookmarkEnd w:id="28"/>
                  <w:r>
                    <w:rPr>
                      <w:rFonts w:ascii="Baskerville Old Face" w:eastAsia="Times New Roman" w:hAnsi="Baskerville Old Face"/>
                      <w:b/>
                      <w:sz w:val="20"/>
                      <w:szCs w:val="20"/>
                      <w:lang w:eastAsia="it-IT"/>
                    </w:rPr>
                    <w:t xml:space="preserve">Parametri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2"/>
                    <w:jc w:val="center"/>
                  </w:pPr>
                  <w:r>
                    <w:rPr>
                      <w:rFonts w:ascii="Baskerville Old Face" w:eastAsia="Times New Roman" w:hAnsi="Baskerville Old Face"/>
                      <w:b/>
                      <w:sz w:val="20"/>
                      <w:szCs w:val="20"/>
                      <w:lang w:eastAsia="it-IT"/>
                    </w:rPr>
                    <w:t xml:space="preserve">Unità di misura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pPr>
                  <w:r>
                    <w:rPr>
                      <w:rFonts w:ascii="Baskerville Old Face" w:eastAsia="Times New Roman" w:hAnsi="Baskerville Old Face"/>
                      <w:b/>
                      <w:sz w:val="20"/>
                      <w:szCs w:val="20"/>
                      <w:lang w:eastAsia="it-IT"/>
                    </w:rPr>
                    <w:t xml:space="preserve">Concentrazioni limite </w:t>
                  </w:r>
                </w:p>
              </w:tc>
            </w:tr>
            <w:tr w:rsidR="00FD040E">
              <w:tblPrEx>
                <w:tblCellMar>
                  <w:top w:w="0" w:type="dxa"/>
                  <w:bottom w:w="0" w:type="dxa"/>
                </w:tblCellMar>
              </w:tblPrEx>
              <w:trPr>
                <w:trHeight w:val="343"/>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4"/>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Nitrati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mg/l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50 </w:t>
                  </w:r>
                </w:p>
              </w:tc>
            </w:tr>
            <w:tr w:rsidR="00FD040E">
              <w:tblPrEx>
                <w:tblCellMar>
                  <w:top w:w="0" w:type="dxa"/>
                  <w:bottom w:w="0" w:type="dxa"/>
                </w:tblCellMar>
              </w:tblPrEx>
              <w:trPr>
                <w:trHeight w:val="343"/>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2"/>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Fluoruri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mg/l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8"/>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1,5 </w:t>
                  </w:r>
                </w:p>
              </w:tc>
            </w:tr>
            <w:tr w:rsidR="00FD040E">
              <w:tblPrEx>
                <w:tblCellMar>
                  <w:top w:w="0" w:type="dxa"/>
                  <w:bottom w:w="0" w:type="dxa"/>
                </w:tblCellMar>
              </w:tblPrEx>
              <w:trPr>
                <w:trHeight w:val="341"/>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4"/>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Cianuri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microgrammi/l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50 </w:t>
                  </w:r>
                </w:p>
              </w:tc>
            </w:tr>
            <w:tr w:rsidR="00FD040E">
              <w:tblPrEx>
                <w:tblCellMar>
                  <w:top w:w="0" w:type="dxa"/>
                  <w:bottom w:w="0" w:type="dxa"/>
                </w:tblCellMar>
              </w:tblPrEx>
              <w:trPr>
                <w:trHeight w:val="343"/>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1"/>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Bario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mg/l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1 </w:t>
                  </w:r>
                </w:p>
              </w:tc>
            </w:tr>
            <w:tr w:rsidR="00FD040E">
              <w:tblPrEx>
                <w:tblCellMar>
                  <w:top w:w="0" w:type="dxa"/>
                  <w:bottom w:w="0" w:type="dxa"/>
                </w:tblCellMar>
              </w:tblPrEx>
              <w:trPr>
                <w:trHeight w:val="343"/>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6"/>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Rame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mg/l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8"/>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0,05 </w:t>
                  </w:r>
                </w:p>
              </w:tc>
            </w:tr>
            <w:tr w:rsidR="00FD040E">
              <w:tblPrEx>
                <w:tblCellMar>
                  <w:top w:w="0" w:type="dxa"/>
                  <w:bottom w:w="0" w:type="dxa"/>
                </w:tblCellMar>
              </w:tblPrEx>
              <w:trPr>
                <w:trHeight w:val="344"/>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4"/>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Zinco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mg/l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3 </w:t>
                  </w:r>
                </w:p>
              </w:tc>
            </w:tr>
            <w:tr w:rsidR="00FD040E">
              <w:tblPrEx>
                <w:tblCellMar>
                  <w:top w:w="0" w:type="dxa"/>
                  <w:bottom w:w="0" w:type="dxa"/>
                </w:tblCellMar>
              </w:tblPrEx>
              <w:trPr>
                <w:trHeight w:val="343"/>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1"/>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Berillio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microgrammi/l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10 </w:t>
                  </w:r>
                </w:p>
              </w:tc>
            </w:tr>
            <w:tr w:rsidR="00FD040E">
              <w:tblPrEx>
                <w:tblCellMar>
                  <w:top w:w="0" w:type="dxa"/>
                  <w:bottom w:w="0" w:type="dxa"/>
                </w:tblCellMar>
              </w:tblPrEx>
              <w:trPr>
                <w:trHeight w:val="343"/>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1"/>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Cobalto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microgrammi/l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250 </w:t>
                  </w:r>
                </w:p>
              </w:tc>
            </w:tr>
            <w:tr w:rsidR="00FD040E">
              <w:tblPrEx>
                <w:tblCellMar>
                  <w:top w:w="0" w:type="dxa"/>
                  <w:bottom w:w="0" w:type="dxa"/>
                </w:tblCellMar>
              </w:tblPrEx>
              <w:trPr>
                <w:trHeight w:val="343"/>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2"/>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Nichel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microgrammi/l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10 </w:t>
                  </w:r>
                </w:p>
              </w:tc>
            </w:tr>
            <w:tr w:rsidR="00FD040E">
              <w:tblPrEx>
                <w:tblCellMar>
                  <w:top w:w="0" w:type="dxa"/>
                  <w:bottom w:w="0" w:type="dxa"/>
                </w:tblCellMar>
              </w:tblPrEx>
              <w:trPr>
                <w:trHeight w:val="343"/>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4"/>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Vanadio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microgrammi/l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250 </w:t>
                  </w:r>
                </w:p>
              </w:tc>
            </w:tr>
            <w:tr w:rsidR="00FD040E">
              <w:tblPrEx>
                <w:tblCellMar>
                  <w:top w:w="0" w:type="dxa"/>
                  <w:bottom w:w="0" w:type="dxa"/>
                </w:tblCellMar>
              </w:tblPrEx>
              <w:trPr>
                <w:trHeight w:val="343"/>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4"/>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Arsenico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microgrammi/l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50 </w:t>
                  </w:r>
                </w:p>
              </w:tc>
            </w:tr>
            <w:tr w:rsidR="00FD040E">
              <w:tblPrEx>
                <w:tblCellMar>
                  <w:top w:w="0" w:type="dxa"/>
                  <w:bottom w:w="0" w:type="dxa"/>
                </w:tblCellMar>
              </w:tblPrEx>
              <w:trPr>
                <w:trHeight w:val="343"/>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Cadmio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microgrammi/l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5 </w:t>
                  </w:r>
                </w:p>
              </w:tc>
            </w:tr>
            <w:tr w:rsidR="00FD040E">
              <w:tblPrEx>
                <w:tblCellMar>
                  <w:top w:w="0" w:type="dxa"/>
                  <w:bottom w:w="0" w:type="dxa"/>
                </w:tblCellMar>
              </w:tblPrEx>
              <w:trPr>
                <w:trHeight w:val="343"/>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4"/>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Cromo totale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microgrammi/l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50 </w:t>
                  </w:r>
                </w:p>
              </w:tc>
            </w:tr>
            <w:tr w:rsidR="00FD040E">
              <w:tblPrEx>
                <w:tblCellMar>
                  <w:top w:w="0" w:type="dxa"/>
                  <w:bottom w:w="0" w:type="dxa"/>
                </w:tblCellMar>
              </w:tblPrEx>
              <w:trPr>
                <w:trHeight w:val="341"/>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Piombo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microgrammi/l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50 </w:t>
                  </w:r>
                </w:p>
              </w:tc>
            </w:tr>
            <w:tr w:rsidR="00FD040E">
              <w:tblPrEx>
                <w:tblCellMar>
                  <w:top w:w="0" w:type="dxa"/>
                  <w:bottom w:w="0" w:type="dxa"/>
                </w:tblCellMar>
              </w:tblPrEx>
              <w:trPr>
                <w:trHeight w:val="343"/>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Selenio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microgrammi/l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10 </w:t>
                  </w:r>
                </w:p>
              </w:tc>
            </w:tr>
            <w:tr w:rsidR="00FD040E">
              <w:tblPrEx>
                <w:tblCellMar>
                  <w:top w:w="0" w:type="dxa"/>
                  <w:bottom w:w="0" w:type="dxa"/>
                </w:tblCellMar>
              </w:tblPrEx>
              <w:trPr>
                <w:trHeight w:val="344"/>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Mercurio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microgrammi/l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1 </w:t>
                  </w:r>
                </w:p>
              </w:tc>
            </w:tr>
            <w:tr w:rsidR="00FD040E">
              <w:tblPrEx>
                <w:tblCellMar>
                  <w:top w:w="0" w:type="dxa"/>
                  <w:bottom w:w="0" w:type="dxa"/>
                </w:tblCellMar>
              </w:tblPrEx>
              <w:trPr>
                <w:trHeight w:val="343"/>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4"/>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COD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mg/l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30 </w:t>
                  </w:r>
                </w:p>
              </w:tc>
            </w:tr>
            <w:tr w:rsidR="00FD040E">
              <w:tblPrEx>
                <w:tblCellMar>
                  <w:top w:w="0" w:type="dxa"/>
                  <w:bottom w:w="0" w:type="dxa"/>
                </w:tblCellMar>
              </w:tblPrEx>
              <w:trPr>
                <w:trHeight w:val="343"/>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2"/>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Solfati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mg/l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750 </w:t>
                  </w:r>
                </w:p>
              </w:tc>
            </w:tr>
            <w:tr w:rsidR="00FD040E">
              <w:tblPrEx>
                <w:tblCellMar>
                  <w:top w:w="0" w:type="dxa"/>
                  <w:bottom w:w="0" w:type="dxa"/>
                </w:tblCellMar>
              </w:tblPrEx>
              <w:trPr>
                <w:trHeight w:val="343"/>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Cloruri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mg/l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750 </w:t>
                  </w:r>
                </w:p>
              </w:tc>
            </w:tr>
            <w:tr w:rsidR="00FD040E">
              <w:tblPrEx>
                <w:tblCellMar>
                  <w:top w:w="0" w:type="dxa"/>
                  <w:bottom w:w="0" w:type="dxa"/>
                </w:tblCellMar>
              </w:tblPrEx>
              <w:trPr>
                <w:trHeight w:val="342"/>
              </w:trPr>
              <w:tc>
                <w:tcPr>
                  <w:tcW w:w="1016"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right="4"/>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PH  </w:t>
                  </w:r>
                </w:p>
              </w:tc>
              <w:tc>
                <w:tcPr>
                  <w:tcW w:w="1411"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56"/>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  </w:t>
                  </w:r>
                </w:p>
              </w:tc>
              <w:tc>
                <w:tcPr>
                  <w:tcW w:w="1447" w:type="dxa"/>
                  <w:tcBorders>
                    <w:top w:val="single" w:sz="4" w:space="0" w:color="000000"/>
                    <w:left w:val="single" w:sz="4" w:space="0" w:color="000000"/>
                    <w:bottom w:val="single" w:sz="4" w:space="0" w:color="000000"/>
                    <w:right w:val="single" w:sz="4" w:space="0" w:color="000000"/>
                  </w:tcBorders>
                  <w:shd w:val="clear" w:color="auto" w:fill="auto"/>
                  <w:tcMar>
                    <w:top w:w="94" w:type="dxa"/>
                    <w:left w:w="115" w:type="dxa"/>
                    <w:bottom w:w="0" w:type="dxa"/>
                    <w:right w:w="115" w:type="dxa"/>
                  </w:tcMar>
                </w:tcPr>
                <w:p w:rsidR="00FD040E" w:rsidRDefault="00000000">
                  <w:pPr>
                    <w:spacing w:after="0"/>
                    <w:ind w:left="10"/>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5,5 &lt; &gt; 12,0 </w:t>
                  </w:r>
                </w:p>
              </w:tc>
            </w:tr>
            <w:bookmarkEnd w:id="29"/>
          </w:tbl>
          <w:p w:rsidR="00FD040E" w:rsidRDefault="00FD040E">
            <w:pPr>
              <w:spacing w:before="120" w:after="120" w:line="240" w:lineRule="auto"/>
              <w:jc w:val="both"/>
              <w:rPr>
                <w:rFonts w:ascii="Baskerville Old Face" w:hAnsi="Baskerville Old Face" w:cs="Calibri"/>
                <w:b/>
                <w:i/>
                <w:iCs/>
                <w:sz w:val="20"/>
                <w:szCs w:val="20"/>
              </w:rPr>
            </w:pPr>
          </w:p>
          <w:p w:rsidR="00FD040E" w:rsidRDefault="00FD040E">
            <w:pPr>
              <w:spacing w:before="120" w:after="120" w:line="240" w:lineRule="auto"/>
              <w:jc w:val="both"/>
              <w:rPr>
                <w:rFonts w:ascii="Baskerville Old Face" w:hAnsi="Baskerville Old Face" w:cs="Calibri"/>
                <w:sz w:val="20"/>
                <w:szCs w:val="20"/>
              </w:rPr>
            </w:pP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pStyle w:val="Default"/>
              <w:spacing w:before="120" w:after="120"/>
              <w:jc w:val="both"/>
              <w:rPr>
                <w:rFonts w:ascii="Baskerville Old Face" w:hAnsi="Baskerville Old Face" w:cs="Calibri"/>
                <w:b/>
                <w:bCs/>
                <w:color w:val="auto"/>
                <w:sz w:val="20"/>
                <w:szCs w:val="20"/>
              </w:rPr>
            </w:pPr>
            <w:bookmarkStart w:id="30" w:name="_Hlk132891935"/>
            <w:r>
              <w:rPr>
                <w:rFonts w:ascii="Baskerville Old Face" w:hAnsi="Baskerville Old Face" w:cs="Calibri"/>
                <w:b/>
                <w:bCs/>
                <w:color w:val="auto"/>
                <w:sz w:val="20"/>
                <w:szCs w:val="20"/>
              </w:rPr>
              <w:t>e) Norme tecniche di riferimento per la certificazione Ce dell'aggregato recuperato</w:t>
            </w:r>
          </w:p>
          <w:p w:rsidR="00FD040E" w:rsidRDefault="00000000">
            <w:pPr>
              <w:pStyle w:val="Default"/>
              <w:spacing w:before="120" w:after="120"/>
              <w:jc w:val="both"/>
              <w:rPr>
                <w:rFonts w:ascii="Baskerville Old Face" w:hAnsi="Baskerville Old Face" w:cs="Calibri"/>
                <w:color w:val="auto"/>
                <w:sz w:val="20"/>
                <w:szCs w:val="20"/>
              </w:rPr>
            </w:pPr>
            <w:r>
              <w:rPr>
                <w:rFonts w:ascii="Baskerville Old Face" w:hAnsi="Baskerville Old Face" w:cs="Calibri"/>
                <w:color w:val="auto"/>
                <w:sz w:val="20"/>
                <w:szCs w:val="20"/>
              </w:rPr>
              <w:t xml:space="preserve">In tabella 4 sono riportate le norme tecniche di riferimento per l’attribuzione della marcatura Ce all'aggregato recuperato. </w:t>
            </w:r>
          </w:p>
          <w:bookmarkEnd w:id="30"/>
          <w:p w:rsidR="00FD040E" w:rsidRDefault="00FD040E">
            <w:pPr>
              <w:spacing w:before="120" w:after="120" w:line="240" w:lineRule="auto"/>
              <w:jc w:val="both"/>
              <w:rPr>
                <w:rFonts w:ascii="Baskerville Old Face" w:hAnsi="Baskerville Old Face" w:cs="Calibri"/>
                <w:i/>
                <w:iCs/>
                <w:sz w:val="20"/>
                <w:szCs w:val="20"/>
              </w:rPr>
            </w:pPr>
          </w:p>
          <w:p w:rsidR="00FD040E" w:rsidRDefault="00000000">
            <w:pPr>
              <w:spacing w:before="120" w:after="120" w:line="240" w:lineRule="auto"/>
              <w:jc w:val="both"/>
              <w:rPr>
                <w:rFonts w:ascii="Baskerville Old Face" w:hAnsi="Baskerville Old Face" w:cs="Calibri"/>
                <w:b/>
                <w:i/>
                <w:iCs/>
                <w:sz w:val="20"/>
                <w:szCs w:val="20"/>
              </w:rPr>
            </w:pPr>
            <w:bookmarkStart w:id="31" w:name="_Hlk132891946"/>
            <w:r>
              <w:rPr>
                <w:rFonts w:ascii="Baskerville Old Face" w:hAnsi="Baskerville Old Face" w:cs="Calibri"/>
                <w:b/>
                <w:i/>
                <w:iCs/>
                <w:sz w:val="20"/>
                <w:szCs w:val="20"/>
              </w:rPr>
              <w:t>Tabella 4 — Norme tecniche per certificazione Ce</w:t>
            </w:r>
          </w:p>
          <w:tbl>
            <w:tblPr>
              <w:tblW w:w="3969" w:type="dxa"/>
              <w:tblInd w:w="29" w:type="dxa"/>
              <w:tblCellMar>
                <w:left w:w="10" w:type="dxa"/>
                <w:right w:w="10" w:type="dxa"/>
              </w:tblCellMar>
              <w:tblLook w:val="0000" w:firstRow="0" w:lastRow="0" w:firstColumn="0" w:lastColumn="0" w:noHBand="0" w:noVBand="0"/>
            </w:tblPr>
            <w:tblGrid>
              <w:gridCol w:w="1134"/>
              <w:gridCol w:w="2835"/>
            </w:tblGrid>
            <w:tr w:rsidR="00FD040E">
              <w:tblPrEx>
                <w:tblCellMar>
                  <w:top w:w="0" w:type="dxa"/>
                  <w:bottom w:w="0" w:type="dxa"/>
                </w:tblCellMar>
              </w:tblPrEx>
              <w:trPr>
                <w:trHeight w:val="312"/>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tcPr>
                <w:p w:rsidR="00FD040E" w:rsidRDefault="00000000">
                  <w:pPr>
                    <w:spacing w:after="0"/>
                    <w:ind w:left="1"/>
                    <w:jc w:val="center"/>
                  </w:pPr>
                  <w:bookmarkStart w:id="32" w:name="_Hlk132891956"/>
                  <w:bookmarkEnd w:id="31"/>
                  <w:r>
                    <w:rPr>
                      <w:rFonts w:ascii="Baskerville Old Face" w:eastAsia="Times New Roman" w:hAnsi="Baskerville Old Face"/>
                      <w:b/>
                      <w:sz w:val="20"/>
                      <w:szCs w:val="20"/>
                      <w:lang w:eastAsia="it-IT"/>
                    </w:rPr>
                    <w:t xml:space="preserve">Norma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tcPr>
                <w:p w:rsidR="00FD040E" w:rsidRDefault="00000000">
                  <w:pPr>
                    <w:spacing w:after="0"/>
                    <w:ind w:right="1"/>
                    <w:jc w:val="center"/>
                  </w:pPr>
                  <w:r>
                    <w:rPr>
                      <w:rFonts w:ascii="Baskerville Old Face" w:eastAsia="Times New Roman" w:hAnsi="Baskerville Old Face"/>
                      <w:b/>
                      <w:sz w:val="20"/>
                      <w:szCs w:val="20"/>
                      <w:lang w:eastAsia="it-IT"/>
                    </w:rPr>
                    <w:t xml:space="preserve">Titolo </w:t>
                  </w:r>
                </w:p>
              </w:tc>
            </w:tr>
            <w:tr w:rsidR="00FD040E">
              <w:tblPrEx>
                <w:tblCellMar>
                  <w:top w:w="0" w:type="dxa"/>
                  <w:bottom w:w="0" w:type="dxa"/>
                </w:tblCellMar>
              </w:tblPrEx>
              <w:trPr>
                <w:trHeight w:val="610"/>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vAlign w:val="bottom"/>
                </w:tcPr>
                <w:p w:rsidR="00FD040E" w:rsidRDefault="00000000">
                  <w:pPr>
                    <w:spacing w:after="0"/>
                    <w:ind w:left="1"/>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UNI EN 13242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tcPr>
                <w:p w:rsidR="00FD040E" w:rsidRDefault="00000000">
                  <w:pPr>
                    <w:spacing w:after="0"/>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Aggregati per materiali non legati e legati con leganti idraulici per l'impiego in opere di ingegneria civile e nella costruzione di strade </w:t>
                  </w:r>
                </w:p>
              </w:tc>
            </w:tr>
            <w:tr w:rsidR="00FD040E">
              <w:tblPrEx>
                <w:tblCellMar>
                  <w:top w:w="0" w:type="dxa"/>
                  <w:bottom w:w="0" w:type="dxa"/>
                </w:tblCellMar>
              </w:tblPrEx>
              <w:trPr>
                <w:trHeight w:val="310"/>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tcPr>
                <w:p w:rsidR="00FD040E" w:rsidRDefault="00000000">
                  <w:pPr>
                    <w:spacing w:after="0"/>
                    <w:ind w:left="1"/>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UNI EN 12620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tcPr>
                <w:p w:rsidR="00FD040E" w:rsidRDefault="00000000">
                  <w:pPr>
                    <w:spacing w:after="0"/>
                    <w:ind w:right="4"/>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Aggregati per calcestruzzo </w:t>
                  </w:r>
                </w:p>
              </w:tc>
            </w:tr>
            <w:tr w:rsidR="00FD040E">
              <w:tblPrEx>
                <w:tblCellMar>
                  <w:top w:w="0" w:type="dxa"/>
                  <w:bottom w:w="0" w:type="dxa"/>
                </w:tblCellMar>
              </w:tblPrEx>
              <w:trPr>
                <w:trHeight w:val="310"/>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tcPr>
                <w:p w:rsidR="00FD040E" w:rsidRDefault="00000000">
                  <w:pPr>
                    <w:spacing w:after="0"/>
                    <w:ind w:left="1"/>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UNI EN 13139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tcPr>
                <w:p w:rsidR="00FD040E" w:rsidRDefault="00000000">
                  <w:pPr>
                    <w:spacing w:after="0"/>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Aggregati per malta </w:t>
                  </w:r>
                </w:p>
              </w:tc>
            </w:tr>
            <w:tr w:rsidR="00FD040E">
              <w:tblPrEx>
                <w:tblCellMar>
                  <w:top w:w="0" w:type="dxa"/>
                  <w:bottom w:w="0" w:type="dxa"/>
                </w:tblCellMar>
              </w:tblPrEx>
              <w:trPr>
                <w:trHeight w:val="610"/>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vAlign w:val="bottom"/>
                </w:tcPr>
                <w:p w:rsidR="00FD040E" w:rsidRDefault="00000000">
                  <w:pPr>
                    <w:spacing w:after="0"/>
                    <w:ind w:left="1"/>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UNI EN 13043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tcPr>
                <w:p w:rsidR="00FD040E" w:rsidRDefault="00000000">
                  <w:pPr>
                    <w:spacing w:after="0"/>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Aggregati per miscele bituminose e trattamenti superficiali per strade, aeroporti e altre aree soggette a traffico </w:t>
                  </w:r>
                </w:p>
              </w:tc>
            </w:tr>
            <w:tr w:rsidR="00FD040E">
              <w:tblPrEx>
                <w:tblCellMar>
                  <w:top w:w="0" w:type="dxa"/>
                  <w:bottom w:w="0" w:type="dxa"/>
                </w:tblCellMar>
              </w:tblPrEx>
              <w:trPr>
                <w:trHeight w:val="310"/>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tcPr>
                <w:p w:rsidR="00FD040E" w:rsidRDefault="00000000">
                  <w:pPr>
                    <w:spacing w:after="0"/>
                    <w:ind w:left="1"/>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UNI EN 13055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tcPr>
                <w:p w:rsidR="00FD040E" w:rsidRDefault="00000000">
                  <w:pPr>
                    <w:spacing w:after="0"/>
                    <w:ind w:right="2"/>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Aggregati leggeri </w:t>
                  </w:r>
                </w:p>
              </w:tc>
            </w:tr>
            <w:tr w:rsidR="00FD040E">
              <w:tblPrEx>
                <w:tblCellMar>
                  <w:top w:w="0" w:type="dxa"/>
                  <w:bottom w:w="0" w:type="dxa"/>
                </w:tblCellMar>
              </w:tblPrEx>
              <w:trPr>
                <w:trHeight w:val="313"/>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tcPr>
                <w:p w:rsidR="00FD040E" w:rsidRDefault="00000000">
                  <w:pPr>
                    <w:spacing w:after="0"/>
                    <w:ind w:left="1"/>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UNI EN 13450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tcPr>
                <w:p w:rsidR="00FD040E" w:rsidRDefault="00000000">
                  <w:pPr>
                    <w:spacing w:after="0"/>
                    <w:ind w:right="1"/>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Aggregati per massicciate per ferrovie </w:t>
                  </w:r>
                </w:p>
              </w:tc>
            </w:tr>
            <w:tr w:rsidR="00FD040E">
              <w:tblPrEx>
                <w:tblCellMar>
                  <w:top w:w="0" w:type="dxa"/>
                  <w:bottom w:w="0" w:type="dxa"/>
                </w:tblCellMar>
              </w:tblPrEx>
              <w:trPr>
                <w:trHeight w:val="631"/>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vAlign w:val="bottom"/>
                </w:tcPr>
                <w:p w:rsidR="00FD040E" w:rsidRDefault="00000000">
                  <w:pPr>
                    <w:spacing w:after="0"/>
                    <w:ind w:right="3"/>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UNI EN 13383-1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vAlign w:val="bottom"/>
                </w:tcPr>
                <w:p w:rsidR="00FD040E" w:rsidRDefault="00000000">
                  <w:pPr>
                    <w:spacing w:after="0"/>
                    <w:ind w:right="1"/>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Aggregati per opere di protezione (armourstone) – Specifiche </w:t>
                  </w:r>
                </w:p>
              </w:tc>
            </w:tr>
            <w:tr w:rsidR="00FD040E">
              <w:tblPrEx>
                <w:tblCellMar>
                  <w:top w:w="0" w:type="dxa"/>
                  <w:bottom w:w="0" w:type="dxa"/>
                </w:tblCellMar>
              </w:tblPrEx>
              <w:trPr>
                <w:trHeight w:val="631"/>
              </w:trPr>
              <w:tc>
                <w:tcPr>
                  <w:tcW w:w="1134"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vAlign w:val="bottom"/>
                </w:tcPr>
                <w:p w:rsidR="00FD040E" w:rsidRDefault="00000000">
                  <w:pPr>
                    <w:spacing w:after="0" w:line="240" w:lineRule="auto"/>
                    <w:ind w:right="3"/>
                    <w:jc w:val="center"/>
                  </w:pPr>
                  <w:r>
                    <w:rPr>
                      <w:rFonts w:ascii="Baskerville Old Face" w:eastAsia="Times New Roman" w:hAnsi="Baskerville Old Face"/>
                      <w:b/>
                      <w:bCs/>
                      <w:color w:val="000000"/>
                      <w:sz w:val="20"/>
                      <w:szCs w:val="20"/>
                      <w:lang w:eastAsia="it-IT"/>
                    </w:rPr>
                    <w:t>UNI EN 13108</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68" w:type="dxa"/>
                    <w:left w:w="115" w:type="dxa"/>
                    <w:bottom w:w="41" w:type="dxa"/>
                    <w:right w:w="115" w:type="dxa"/>
                  </w:tcMar>
                </w:tcPr>
                <w:p w:rsidR="00FD040E" w:rsidRDefault="00000000">
                  <w:pPr>
                    <w:spacing w:after="0" w:line="240" w:lineRule="auto"/>
                    <w:jc w:val="center"/>
                    <w:rPr>
                      <w:rFonts w:ascii="Baskerville Old Face" w:eastAsia="Times New Roman" w:hAnsi="Baskerville Old Face"/>
                      <w:b/>
                      <w:bCs/>
                      <w:color w:val="000000"/>
                      <w:sz w:val="20"/>
                      <w:szCs w:val="20"/>
                      <w:lang w:eastAsia="it-IT"/>
                    </w:rPr>
                  </w:pPr>
                  <w:r>
                    <w:rPr>
                      <w:rFonts w:ascii="Baskerville Old Face" w:eastAsia="Times New Roman" w:hAnsi="Baskerville Old Face"/>
                      <w:b/>
                      <w:bCs/>
                      <w:color w:val="000000"/>
                      <w:sz w:val="20"/>
                      <w:szCs w:val="20"/>
                      <w:lang w:eastAsia="it-IT"/>
                    </w:rPr>
                    <w:t>Miscele bituminose - Specifiche del materiale - Parte 8: Conglomerato bituminoso di</w:t>
                  </w:r>
                </w:p>
                <w:p w:rsidR="00FD040E" w:rsidRDefault="00000000">
                  <w:pPr>
                    <w:spacing w:after="0" w:line="240" w:lineRule="auto"/>
                    <w:ind w:right="1"/>
                    <w:jc w:val="center"/>
                  </w:pPr>
                  <w:r>
                    <w:rPr>
                      <w:rFonts w:ascii="Baskerville Old Face" w:eastAsia="Times New Roman" w:hAnsi="Baskerville Old Face"/>
                      <w:b/>
                      <w:bCs/>
                      <w:color w:val="000000"/>
                      <w:sz w:val="20"/>
                      <w:szCs w:val="20"/>
                      <w:lang w:eastAsia="it-IT"/>
                    </w:rPr>
                    <w:t>recupero</w:t>
                  </w:r>
                </w:p>
              </w:tc>
            </w:tr>
            <w:bookmarkEnd w:id="32"/>
          </w:tbl>
          <w:p w:rsidR="00FD040E" w:rsidRDefault="00FD040E">
            <w:pPr>
              <w:spacing w:before="120" w:after="120" w:line="240" w:lineRule="auto"/>
              <w:jc w:val="both"/>
              <w:rPr>
                <w:rFonts w:ascii="Baskerville Old Face" w:hAnsi="Baskerville Old Face" w:cs="Calibri"/>
                <w:b/>
                <w:i/>
                <w:iCs/>
                <w:sz w:val="20"/>
                <w:szCs w:val="20"/>
              </w:rPr>
            </w:pPr>
          </w:p>
          <w:p w:rsidR="00FD040E" w:rsidRDefault="00FD040E">
            <w:pPr>
              <w:spacing w:before="120" w:after="120" w:line="240" w:lineRule="auto"/>
              <w:jc w:val="both"/>
              <w:rPr>
                <w:rFonts w:ascii="Baskerville Old Face" w:hAnsi="Baskerville Old Face" w:cs="Calibri"/>
                <w:sz w:val="20"/>
                <w:szCs w:val="20"/>
              </w:rPr>
            </w:pP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D040E" w:rsidRDefault="00000000">
            <w:pPr>
              <w:pStyle w:val="Default"/>
              <w:spacing w:before="120" w:after="120"/>
              <w:jc w:val="both"/>
              <w:rPr>
                <w:rFonts w:ascii="Baskerville Old Face" w:hAnsi="Baskerville Old Face" w:cs="Calibri"/>
                <w:b/>
                <w:bCs/>
                <w:color w:val="auto"/>
                <w:sz w:val="20"/>
                <w:szCs w:val="20"/>
              </w:rPr>
            </w:pPr>
            <w:bookmarkStart w:id="33" w:name="_Hlk132892002"/>
            <w:r>
              <w:rPr>
                <w:rFonts w:ascii="Baskerville Old Face" w:hAnsi="Baskerville Old Face" w:cs="Calibri"/>
                <w:b/>
                <w:bCs/>
                <w:color w:val="auto"/>
                <w:sz w:val="20"/>
                <w:szCs w:val="20"/>
              </w:rPr>
              <w:t>Allegato 2</w:t>
            </w:r>
          </w:p>
          <w:p w:rsidR="00FD040E" w:rsidRDefault="00000000">
            <w:pPr>
              <w:pStyle w:val="Default"/>
              <w:spacing w:before="120" w:after="120"/>
              <w:jc w:val="both"/>
              <w:rPr>
                <w:rFonts w:ascii="Baskerville Old Face" w:hAnsi="Baskerville Old Face" w:cs="Calibri"/>
                <w:b/>
                <w:bCs/>
                <w:color w:val="auto"/>
                <w:sz w:val="20"/>
                <w:szCs w:val="20"/>
              </w:rPr>
            </w:pPr>
            <w:r>
              <w:rPr>
                <w:rFonts w:ascii="Baskerville Old Face" w:hAnsi="Baskerville Old Face" w:cs="Calibri"/>
                <w:b/>
                <w:bCs/>
                <w:color w:val="auto"/>
                <w:sz w:val="20"/>
                <w:szCs w:val="20"/>
              </w:rPr>
              <w:t>(Articolo 4)</w:t>
            </w:r>
            <w:bookmarkEnd w:id="33"/>
          </w:p>
        </w:tc>
        <w:tc>
          <w:tcPr>
            <w:tcW w:w="241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rPr>
          <w:trHeight w:val="6369"/>
        </w:trPr>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pStyle w:val="Default"/>
              <w:spacing w:before="120" w:after="120"/>
              <w:jc w:val="both"/>
              <w:rPr>
                <w:rFonts w:ascii="Baskerville Old Face" w:hAnsi="Baskerville Old Face" w:cs="Calibri"/>
                <w:color w:val="auto"/>
                <w:sz w:val="20"/>
                <w:szCs w:val="20"/>
              </w:rPr>
            </w:pPr>
            <w:bookmarkStart w:id="34" w:name="_Hlk132892028"/>
            <w:r>
              <w:rPr>
                <w:rFonts w:ascii="Baskerville Old Face" w:hAnsi="Baskerville Old Face" w:cs="Calibri"/>
                <w:color w:val="auto"/>
                <w:sz w:val="20"/>
                <w:szCs w:val="20"/>
              </w:rPr>
              <w:t>L'aggregato recuperato è utilizzato, secondo le norme tecniche di utilizzo di cui alla tabella 5, per:</w:t>
            </w:r>
          </w:p>
          <w:p w:rsidR="00FD040E" w:rsidRDefault="00000000">
            <w:pPr>
              <w:pStyle w:val="Default"/>
              <w:numPr>
                <w:ilvl w:val="0"/>
                <w:numId w:val="3"/>
              </w:numPr>
              <w:spacing w:before="120" w:after="120"/>
              <w:jc w:val="both"/>
              <w:rPr>
                <w:rFonts w:ascii="Baskerville Old Face" w:hAnsi="Baskerville Old Face" w:cs="Calibri"/>
                <w:color w:val="auto"/>
                <w:sz w:val="20"/>
                <w:szCs w:val="20"/>
              </w:rPr>
            </w:pPr>
            <w:r>
              <w:rPr>
                <w:rFonts w:ascii="Baskerville Old Face" w:hAnsi="Baskerville Old Face" w:cs="Calibri"/>
                <w:color w:val="auto"/>
                <w:sz w:val="20"/>
                <w:szCs w:val="20"/>
              </w:rPr>
              <w:t>realizzazione di recuperi ambientali, riempimenti e colmate;</w:t>
            </w:r>
          </w:p>
          <w:p w:rsidR="00FD040E" w:rsidRDefault="00000000">
            <w:pPr>
              <w:pStyle w:val="Default"/>
              <w:numPr>
                <w:ilvl w:val="0"/>
                <w:numId w:val="3"/>
              </w:numPr>
              <w:spacing w:before="120" w:after="120"/>
              <w:jc w:val="both"/>
              <w:rPr>
                <w:rFonts w:ascii="Baskerville Old Face" w:hAnsi="Baskerville Old Face" w:cs="Calibri"/>
                <w:color w:val="auto"/>
                <w:sz w:val="20"/>
                <w:szCs w:val="20"/>
              </w:rPr>
            </w:pPr>
            <w:r>
              <w:rPr>
                <w:rFonts w:ascii="Baskerville Old Face" w:hAnsi="Baskerville Old Face" w:cs="Calibri"/>
                <w:color w:val="auto"/>
                <w:sz w:val="20"/>
                <w:szCs w:val="20"/>
              </w:rPr>
              <w:t>realizzazione del corpo dei rilevati di opere in terra dell'ingegneria civile;</w:t>
            </w:r>
          </w:p>
          <w:p w:rsidR="00FD040E" w:rsidRDefault="00000000">
            <w:pPr>
              <w:pStyle w:val="Default"/>
              <w:numPr>
                <w:ilvl w:val="0"/>
                <w:numId w:val="3"/>
              </w:numPr>
              <w:spacing w:before="120" w:after="120"/>
              <w:jc w:val="both"/>
              <w:rPr>
                <w:rFonts w:ascii="Baskerville Old Face" w:hAnsi="Baskerville Old Face" w:cs="Calibri"/>
                <w:color w:val="auto"/>
                <w:sz w:val="20"/>
                <w:szCs w:val="20"/>
              </w:rPr>
            </w:pPr>
            <w:r>
              <w:rPr>
                <w:rFonts w:ascii="Baskerville Old Face" w:hAnsi="Baskerville Old Face" w:cs="Calibri"/>
                <w:color w:val="auto"/>
                <w:sz w:val="20"/>
                <w:szCs w:val="20"/>
              </w:rPr>
              <w:t>realizzazione di miscele bituminose e sottofondi stradali, ferroviari, aeroportuali e di piazzali civili ed industriali;</w:t>
            </w:r>
          </w:p>
          <w:p w:rsidR="00FD040E" w:rsidRDefault="00000000">
            <w:pPr>
              <w:pStyle w:val="Default"/>
              <w:numPr>
                <w:ilvl w:val="0"/>
                <w:numId w:val="3"/>
              </w:numPr>
              <w:spacing w:before="120" w:after="120"/>
              <w:jc w:val="both"/>
              <w:rPr>
                <w:rFonts w:ascii="Baskerville Old Face" w:hAnsi="Baskerville Old Face" w:cs="Calibri"/>
                <w:color w:val="auto"/>
                <w:sz w:val="20"/>
                <w:szCs w:val="20"/>
              </w:rPr>
            </w:pPr>
            <w:r>
              <w:rPr>
                <w:rFonts w:ascii="Baskerville Old Face" w:hAnsi="Baskerville Old Face" w:cs="Calibri"/>
                <w:color w:val="auto"/>
                <w:sz w:val="20"/>
                <w:szCs w:val="20"/>
              </w:rPr>
              <w:t>realizzazione di strati di fondazione delle infrastrutture di trasporto e di piazzali civili ed industriali;</w:t>
            </w:r>
          </w:p>
          <w:p w:rsidR="00FD040E" w:rsidRDefault="00000000">
            <w:pPr>
              <w:pStyle w:val="Default"/>
              <w:numPr>
                <w:ilvl w:val="0"/>
                <w:numId w:val="3"/>
              </w:numPr>
              <w:spacing w:before="120" w:after="120"/>
              <w:jc w:val="both"/>
              <w:rPr>
                <w:rFonts w:ascii="Baskerville Old Face" w:hAnsi="Baskerville Old Face" w:cs="Calibri"/>
                <w:color w:val="auto"/>
                <w:sz w:val="20"/>
                <w:szCs w:val="20"/>
              </w:rPr>
            </w:pPr>
            <w:r>
              <w:rPr>
                <w:rFonts w:ascii="Baskerville Old Face" w:hAnsi="Baskerville Old Face" w:cs="Calibri"/>
                <w:color w:val="auto"/>
                <w:sz w:val="20"/>
                <w:szCs w:val="20"/>
              </w:rPr>
              <w:t>realizzazione di strati accessori aventi, a titolo esemplificativo, funzione anticapillare, antigelo, drenante;</w:t>
            </w:r>
          </w:p>
          <w:p w:rsidR="00FD040E" w:rsidRDefault="00000000">
            <w:pPr>
              <w:pStyle w:val="Default"/>
              <w:numPr>
                <w:ilvl w:val="0"/>
                <w:numId w:val="3"/>
              </w:numPr>
              <w:spacing w:before="120" w:after="120"/>
              <w:jc w:val="both"/>
              <w:rPr>
                <w:rFonts w:ascii="Baskerville Old Face" w:hAnsi="Baskerville Old Face" w:cs="Calibri"/>
                <w:color w:val="auto"/>
                <w:sz w:val="20"/>
                <w:szCs w:val="20"/>
              </w:rPr>
            </w:pPr>
            <w:r>
              <w:rPr>
                <w:rFonts w:ascii="Baskerville Old Face" w:hAnsi="Baskerville Old Face" w:cs="Calibri"/>
                <w:color w:val="auto"/>
                <w:sz w:val="20"/>
                <w:szCs w:val="20"/>
              </w:rPr>
              <w:t>confezionamento di miscele legate con leganti idraulici (quali, a titolo esemplificativo, misti cementati, miscele betonabili)</w:t>
            </w:r>
          </w:p>
          <w:p w:rsidR="00FD040E" w:rsidRDefault="00000000">
            <w:pPr>
              <w:pStyle w:val="Default"/>
              <w:numPr>
                <w:ilvl w:val="0"/>
                <w:numId w:val="3"/>
              </w:numPr>
              <w:spacing w:before="120" w:after="120"/>
              <w:jc w:val="both"/>
              <w:rPr>
                <w:rFonts w:ascii="Baskerville Old Face" w:hAnsi="Baskerville Old Face" w:cs="Calibri"/>
                <w:color w:val="auto"/>
                <w:sz w:val="20"/>
                <w:szCs w:val="20"/>
              </w:rPr>
            </w:pPr>
            <w:r>
              <w:rPr>
                <w:rFonts w:ascii="Baskerville Old Face" w:hAnsi="Baskerville Old Face" w:cs="Calibri"/>
                <w:color w:val="auto"/>
                <w:sz w:val="20"/>
                <w:szCs w:val="20"/>
              </w:rPr>
              <w:t>confezionamento di calcestruzzi;</w:t>
            </w:r>
          </w:p>
          <w:p w:rsidR="00FD040E" w:rsidRDefault="00000000">
            <w:pPr>
              <w:pStyle w:val="Default"/>
              <w:numPr>
                <w:ilvl w:val="0"/>
                <w:numId w:val="3"/>
              </w:numPr>
              <w:spacing w:before="120" w:after="120"/>
              <w:jc w:val="both"/>
              <w:rPr>
                <w:rFonts w:ascii="Baskerville Old Face" w:hAnsi="Baskerville Old Face" w:cs="Calibri"/>
                <w:color w:val="auto"/>
                <w:sz w:val="20"/>
                <w:szCs w:val="20"/>
              </w:rPr>
            </w:pPr>
            <w:r>
              <w:rPr>
                <w:rFonts w:ascii="Baskerville Old Face" w:hAnsi="Baskerville Old Face" w:cs="Calibri"/>
                <w:color w:val="auto"/>
                <w:sz w:val="20"/>
                <w:szCs w:val="20"/>
              </w:rPr>
              <w:t>produzione di clinker per cemento.</w:t>
            </w:r>
          </w:p>
          <w:p w:rsidR="00FD040E" w:rsidRDefault="00000000">
            <w:pPr>
              <w:pStyle w:val="Default"/>
              <w:numPr>
                <w:ilvl w:val="0"/>
                <w:numId w:val="3"/>
              </w:numPr>
              <w:spacing w:before="120" w:after="120"/>
              <w:jc w:val="both"/>
            </w:pPr>
            <w:r>
              <w:rPr>
                <w:rFonts w:ascii="Baskerville Old Face" w:hAnsi="Baskerville Old Face" w:cs="Calibri"/>
                <w:color w:val="auto"/>
                <w:sz w:val="20"/>
                <w:szCs w:val="20"/>
              </w:rPr>
              <w:t>Produzione di cemento</w:t>
            </w:r>
            <w:r>
              <w:rPr>
                <w:rFonts w:ascii="Baskerville Old Face" w:hAnsi="Baskerville Old Face" w:cs="Calibri"/>
                <w:color w:val="auto"/>
                <w:sz w:val="20"/>
                <w:szCs w:val="20"/>
                <w:vertAlign w:val="superscript"/>
              </w:rPr>
              <w:t>1</w:t>
            </w:r>
            <w:r>
              <w:t>.</w:t>
            </w:r>
          </w:p>
          <w:p w:rsidR="00FD040E" w:rsidRDefault="00000000">
            <w:pPr>
              <w:pStyle w:val="Default"/>
              <w:spacing w:before="120" w:after="120"/>
              <w:jc w:val="both"/>
            </w:pPr>
            <w:bookmarkStart w:id="35" w:name="_Hlk132892074"/>
            <w:bookmarkEnd w:id="34"/>
            <w:r>
              <w:rPr>
                <w:rFonts w:ascii="Baskerville Old Face" w:hAnsi="Baskerville Old Face" w:cs="Calibri"/>
                <w:color w:val="auto"/>
                <w:sz w:val="16"/>
                <w:szCs w:val="16"/>
                <w:vertAlign w:val="superscript"/>
              </w:rPr>
              <w:t>1</w:t>
            </w:r>
            <w:r>
              <w:rPr>
                <w:rFonts w:ascii="Baskerville Old Face" w:hAnsi="Baskerville Old Face" w:cs="Calibri"/>
                <w:color w:val="auto"/>
                <w:sz w:val="16"/>
                <w:szCs w:val="16"/>
              </w:rPr>
              <w:t>A far data della pubblicazione della normativa tecnica di riferimento UNI EN 197-6 sugli aggregati recuperati per l’utilizzo specifico e a condizione che nella stessa siano definiti puntualmente e espressamente i valori limite di concentrazione da applicare ai lotti di aggregato recuperato.</w:t>
            </w:r>
          </w:p>
          <w:bookmarkEnd w:id="35"/>
          <w:p w:rsidR="00FD040E" w:rsidRDefault="00000000">
            <w:pPr>
              <w:pStyle w:val="Default"/>
              <w:spacing w:before="120" w:after="120"/>
              <w:jc w:val="both"/>
            </w:pPr>
            <w:r>
              <w:rPr>
                <w:rFonts w:ascii="Baskerville Old Face" w:hAnsi="Baskerville Old Face" w:cs="Calibri"/>
                <w:b/>
                <w:i/>
                <w:iCs/>
                <w:color w:val="auto"/>
                <w:sz w:val="20"/>
                <w:szCs w:val="20"/>
              </w:rPr>
              <w:t>Tabella 5 — Norme tecniche per l'utilizzo dell'aggregato recuperato</w:t>
            </w:r>
          </w:p>
          <w:tbl>
            <w:tblPr>
              <w:tblW w:w="4346" w:type="dxa"/>
              <w:tblInd w:w="29" w:type="dxa"/>
              <w:tblCellMar>
                <w:left w:w="10" w:type="dxa"/>
                <w:right w:w="10" w:type="dxa"/>
              </w:tblCellMar>
              <w:tblLook w:val="0000" w:firstRow="0" w:lastRow="0" w:firstColumn="0" w:lastColumn="0" w:noHBand="0" w:noVBand="0"/>
            </w:tblPr>
            <w:tblGrid>
              <w:gridCol w:w="1788"/>
              <w:gridCol w:w="1366"/>
              <w:gridCol w:w="1550"/>
            </w:tblGrid>
            <w:tr w:rsidR="00FD040E">
              <w:tblPrEx>
                <w:tblCellMar>
                  <w:top w:w="0" w:type="dxa"/>
                  <w:bottom w:w="0" w:type="dxa"/>
                </w:tblCellMar>
              </w:tblPrEx>
              <w:trPr>
                <w:trHeight w:val="883"/>
              </w:trPr>
              <w:tc>
                <w:tcPr>
                  <w:tcW w:w="1788"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tcPr>
                <w:p w:rsidR="00FD040E" w:rsidRDefault="00000000">
                  <w:pPr>
                    <w:spacing w:after="0"/>
                    <w:ind w:right="218"/>
                    <w:jc w:val="center"/>
                  </w:pPr>
                  <w:r>
                    <w:rPr>
                      <w:rFonts w:ascii="Baskerville Old Face" w:eastAsia="Times New Roman" w:hAnsi="Baskerville Old Face"/>
                      <w:b/>
                      <w:sz w:val="20"/>
                      <w:szCs w:val="20"/>
                      <w:lang w:eastAsia="it-IT"/>
                    </w:rPr>
                    <w:t xml:space="preserve">Impiego </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tcPr>
                <w:p w:rsidR="00FD040E" w:rsidRDefault="00000000">
                  <w:pPr>
                    <w:spacing w:after="0"/>
                    <w:ind w:left="38" w:hanging="38"/>
                  </w:pPr>
                  <w:r>
                    <w:rPr>
                      <w:rFonts w:ascii="Baskerville Old Face" w:eastAsia="Times New Roman" w:hAnsi="Baskerville Old Face"/>
                      <w:b/>
                      <w:sz w:val="20"/>
                      <w:szCs w:val="20"/>
                      <w:lang w:eastAsia="it-IT"/>
                    </w:rPr>
                    <w:t xml:space="preserve">Conformità alle norme armonizzate europee / prestazioni </w:t>
                  </w: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tcPr>
                <w:p w:rsidR="00FD040E" w:rsidRDefault="00000000">
                  <w:pPr>
                    <w:spacing w:after="0"/>
                    <w:ind w:right="223"/>
                    <w:jc w:val="center"/>
                  </w:pPr>
                  <w:r>
                    <w:rPr>
                      <w:rFonts w:ascii="Baskerville Old Face" w:eastAsia="Times New Roman" w:hAnsi="Baskerville Old Face"/>
                      <w:b/>
                      <w:sz w:val="20"/>
                      <w:szCs w:val="20"/>
                      <w:lang w:eastAsia="it-IT"/>
                    </w:rPr>
                    <w:t xml:space="preserve">Idoneità tecnica </w:t>
                  </w:r>
                </w:p>
              </w:tc>
            </w:tr>
            <w:tr w:rsidR="00FD040E">
              <w:tblPrEx>
                <w:tblCellMar>
                  <w:top w:w="0" w:type="dxa"/>
                  <w:bottom w:w="0" w:type="dxa"/>
                </w:tblCellMar>
              </w:tblPrEx>
              <w:trPr>
                <w:trHeight w:val="590"/>
              </w:trPr>
              <w:tc>
                <w:tcPr>
                  <w:tcW w:w="1788"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tcPr>
                <w:p w:rsidR="00FD040E" w:rsidRDefault="00000000">
                  <w:pPr>
                    <w:spacing w:after="0"/>
                    <w:ind w:left="21" w:firstLine="46"/>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Realizzazione di recuperi ambientali, riempimenti e colmate</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vAlign w:val="center"/>
                </w:tcPr>
                <w:p w:rsidR="00FD040E" w:rsidRDefault="00FD040E">
                  <w:pPr>
                    <w:spacing w:after="0"/>
                    <w:ind w:right="222"/>
                    <w:jc w:val="center"/>
                    <w:rPr>
                      <w:rFonts w:ascii="Baskerville Old Face" w:eastAsia="Times New Roman" w:hAnsi="Baskerville Old Face"/>
                      <w:sz w:val="20"/>
                      <w:szCs w:val="20"/>
                      <w:lang w:eastAsia="it-IT"/>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vAlign w:val="center"/>
                </w:tcPr>
                <w:p w:rsidR="00FD040E" w:rsidRDefault="00FD040E">
                  <w:pPr>
                    <w:spacing w:after="0"/>
                    <w:ind w:right="222"/>
                    <w:jc w:val="center"/>
                    <w:rPr>
                      <w:rFonts w:ascii="Baskerville Old Face" w:eastAsia="Times New Roman" w:hAnsi="Baskerville Old Face"/>
                      <w:sz w:val="20"/>
                      <w:szCs w:val="20"/>
                      <w:lang w:eastAsia="it-IT"/>
                    </w:rPr>
                  </w:pPr>
                </w:p>
              </w:tc>
            </w:tr>
            <w:tr w:rsidR="00FD040E">
              <w:tblPrEx>
                <w:tblCellMar>
                  <w:top w:w="0" w:type="dxa"/>
                  <w:bottom w:w="0" w:type="dxa"/>
                </w:tblCellMar>
              </w:tblPrEx>
              <w:trPr>
                <w:trHeight w:val="593"/>
              </w:trPr>
              <w:tc>
                <w:tcPr>
                  <w:tcW w:w="1788"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tcPr>
                <w:p w:rsidR="00FD040E" w:rsidRDefault="00000000">
                  <w:pPr>
                    <w:spacing w:after="0"/>
                    <w:ind w:right="217"/>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Realizzazione del corpo del rilevato</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vAlign w:val="center"/>
                </w:tcPr>
                <w:p w:rsidR="00FD040E" w:rsidRDefault="00FD040E">
                  <w:pPr>
                    <w:spacing w:after="0"/>
                    <w:ind w:right="222"/>
                    <w:jc w:val="center"/>
                    <w:rPr>
                      <w:rFonts w:ascii="Baskerville Old Face" w:eastAsia="Times New Roman" w:hAnsi="Baskerville Old Face"/>
                      <w:sz w:val="20"/>
                      <w:szCs w:val="20"/>
                      <w:lang w:eastAsia="it-IT"/>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vAlign w:val="center"/>
                </w:tcPr>
                <w:p w:rsidR="00FD040E" w:rsidRDefault="00FD040E">
                  <w:pPr>
                    <w:spacing w:after="0"/>
                    <w:ind w:right="222"/>
                    <w:jc w:val="center"/>
                    <w:rPr>
                      <w:rFonts w:ascii="Baskerville Old Face" w:eastAsia="Times New Roman" w:hAnsi="Baskerville Old Face"/>
                      <w:sz w:val="20"/>
                      <w:szCs w:val="20"/>
                      <w:lang w:eastAsia="it-IT"/>
                    </w:rPr>
                  </w:pPr>
                </w:p>
              </w:tc>
            </w:tr>
            <w:tr w:rsidR="00FD040E">
              <w:tblPrEx>
                <w:tblCellMar>
                  <w:top w:w="0" w:type="dxa"/>
                  <w:bottom w:w="0" w:type="dxa"/>
                </w:tblCellMar>
              </w:tblPrEx>
              <w:trPr>
                <w:trHeight w:val="590"/>
              </w:trPr>
              <w:tc>
                <w:tcPr>
                  <w:tcW w:w="1788"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tcPr>
                <w:p w:rsidR="00FD040E" w:rsidRDefault="00000000">
                  <w:pPr>
                    <w:spacing w:after="0"/>
                    <w:ind w:right="217"/>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Realizzazione di miscele bituminose e sottofondi stradali, ferroviari, aeroportuali e di piazzali civili ed industriali</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vAlign w:val="center"/>
                </w:tcPr>
                <w:p w:rsidR="00FD040E" w:rsidRDefault="00FD040E">
                  <w:pPr>
                    <w:spacing w:after="0"/>
                    <w:ind w:right="222"/>
                    <w:jc w:val="center"/>
                    <w:rPr>
                      <w:rFonts w:ascii="Baskerville Old Face" w:eastAsia="Times New Roman" w:hAnsi="Baskerville Old Face"/>
                      <w:sz w:val="20"/>
                      <w:szCs w:val="20"/>
                      <w:lang w:eastAsia="it-IT"/>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vAlign w:val="center"/>
                </w:tcPr>
                <w:p w:rsidR="00FD040E" w:rsidRDefault="00FD040E">
                  <w:pPr>
                    <w:spacing w:after="0"/>
                    <w:ind w:right="219"/>
                    <w:jc w:val="center"/>
                    <w:rPr>
                      <w:rFonts w:ascii="Baskerville Old Face" w:eastAsia="Times New Roman" w:hAnsi="Baskerville Old Face"/>
                      <w:sz w:val="20"/>
                      <w:szCs w:val="20"/>
                      <w:lang w:eastAsia="it-IT"/>
                    </w:rPr>
                  </w:pPr>
                </w:p>
              </w:tc>
            </w:tr>
            <w:tr w:rsidR="00FD040E">
              <w:tblPrEx>
                <w:tblCellMar>
                  <w:top w:w="0" w:type="dxa"/>
                  <w:bottom w:w="0" w:type="dxa"/>
                </w:tblCellMar>
              </w:tblPrEx>
              <w:trPr>
                <w:trHeight w:val="884"/>
              </w:trPr>
              <w:tc>
                <w:tcPr>
                  <w:tcW w:w="1788"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tcPr>
                <w:p w:rsidR="00FD040E" w:rsidRDefault="00000000">
                  <w:pPr>
                    <w:spacing w:after="0"/>
                    <w:ind w:left="26" w:firstLine="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Realizzazione di strati di fondazione delle infrastrutture di trasporto e di piazzali civili ed industriali</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vAlign w:val="center"/>
                </w:tcPr>
                <w:p w:rsidR="00FD040E" w:rsidRDefault="00FD040E">
                  <w:pPr>
                    <w:spacing w:after="0"/>
                    <w:ind w:right="222"/>
                    <w:jc w:val="center"/>
                    <w:rPr>
                      <w:rFonts w:ascii="Baskerville Old Face" w:eastAsia="Times New Roman" w:hAnsi="Baskerville Old Face"/>
                      <w:sz w:val="20"/>
                      <w:szCs w:val="20"/>
                      <w:lang w:eastAsia="it-IT"/>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vAlign w:val="center"/>
                </w:tcPr>
                <w:p w:rsidR="00FD040E" w:rsidRDefault="00FD040E">
                  <w:pPr>
                    <w:spacing w:after="0"/>
                    <w:ind w:right="219"/>
                    <w:jc w:val="center"/>
                    <w:rPr>
                      <w:rFonts w:ascii="Baskerville Old Face" w:eastAsia="Times New Roman" w:hAnsi="Baskerville Old Face"/>
                      <w:sz w:val="20"/>
                      <w:szCs w:val="20"/>
                      <w:lang w:eastAsia="it-IT"/>
                    </w:rPr>
                  </w:pPr>
                </w:p>
              </w:tc>
            </w:tr>
            <w:tr w:rsidR="00FD040E">
              <w:tblPrEx>
                <w:tblCellMar>
                  <w:top w:w="0" w:type="dxa"/>
                  <w:bottom w:w="0" w:type="dxa"/>
                </w:tblCellMar>
              </w:tblPrEx>
              <w:trPr>
                <w:cantSplit/>
                <w:trHeight w:val="776"/>
              </w:trPr>
              <w:tc>
                <w:tcPr>
                  <w:tcW w:w="1788"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tcPr>
                <w:p w:rsidR="00FD040E" w:rsidRDefault="00000000">
                  <w:pPr>
                    <w:spacing w:after="0"/>
                    <w:ind w:left="26" w:firstLine="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Realizzazione di strati accessori</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vAlign w:val="center"/>
                </w:tcPr>
                <w:p w:rsidR="00FD040E" w:rsidRDefault="00FD040E">
                  <w:pPr>
                    <w:spacing w:after="0"/>
                    <w:ind w:right="222"/>
                    <w:jc w:val="center"/>
                    <w:rPr>
                      <w:rFonts w:ascii="Baskerville Old Face" w:eastAsia="Times New Roman" w:hAnsi="Baskerville Old Face"/>
                      <w:sz w:val="20"/>
                      <w:szCs w:val="20"/>
                      <w:lang w:eastAsia="it-IT"/>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vAlign w:val="center"/>
                </w:tcPr>
                <w:p w:rsidR="00FD040E" w:rsidRDefault="00FD040E">
                  <w:pPr>
                    <w:spacing w:after="0"/>
                    <w:ind w:right="223"/>
                    <w:jc w:val="center"/>
                    <w:rPr>
                      <w:rFonts w:ascii="Baskerville Old Face" w:eastAsia="Times New Roman" w:hAnsi="Baskerville Old Face"/>
                      <w:sz w:val="20"/>
                      <w:szCs w:val="20"/>
                      <w:lang w:eastAsia="it-IT"/>
                    </w:rPr>
                  </w:pPr>
                </w:p>
              </w:tc>
            </w:tr>
            <w:tr w:rsidR="00FD040E">
              <w:tblPrEx>
                <w:tblCellMar>
                  <w:top w:w="0" w:type="dxa"/>
                  <w:bottom w:w="0" w:type="dxa"/>
                </w:tblCellMar>
              </w:tblPrEx>
              <w:trPr>
                <w:cantSplit/>
                <w:trHeight w:val="1045"/>
              </w:trPr>
              <w:tc>
                <w:tcPr>
                  <w:tcW w:w="1788"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tcPr>
                <w:p w:rsidR="00FD040E" w:rsidRDefault="00000000">
                  <w:pPr>
                    <w:spacing w:after="0" w:line="240" w:lineRule="auto"/>
                    <w:ind w:left="26" w:firstLine="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Confezionamento di miscele legate con leganti idraulici</w:t>
                  </w:r>
                </w:p>
              </w:tc>
              <w:tc>
                <w:tcPr>
                  <w:tcW w:w="1366" w:type="dxa"/>
                  <w:tcBorders>
                    <w:top w:val="single" w:sz="4" w:space="0" w:color="000000"/>
                    <w:left w:val="single" w:sz="4" w:space="0" w:color="000000"/>
                    <w:bottom w:val="single" w:sz="4" w:space="0" w:color="000000"/>
                    <w:right w:val="single" w:sz="4" w:space="0" w:color="000000"/>
                  </w:tcBorders>
                  <w:shd w:val="clear" w:color="auto" w:fill="FFFFFF"/>
                  <w:tcMar>
                    <w:top w:w="58" w:type="dxa"/>
                    <w:left w:w="223" w:type="dxa"/>
                    <w:bottom w:w="0" w:type="dxa"/>
                    <w:right w:w="115" w:type="dxa"/>
                  </w:tcMar>
                </w:tcPr>
                <w:p w:rsidR="00FD040E" w:rsidRDefault="00000000">
                  <w:pPr>
                    <w:pStyle w:val="TableParagraph"/>
                    <w:rPr>
                      <w:rFonts w:ascii="Baskerville Old Face" w:hAnsi="Baskerville Old Face"/>
                      <w:bCs/>
                      <w:color w:val="000000"/>
                      <w:sz w:val="20"/>
                      <w:szCs w:val="20"/>
                      <w:lang w:eastAsia="it-IT"/>
                    </w:rPr>
                  </w:pPr>
                  <w:r>
                    <w:rPr>
                      <w:rFonts w:ascii="Baskerville Old Face" w:hAnsi="Baskerville Old Face"/>
                      <w:bCs/>
                      <w:color w:val="000000"/>
                      <w:sz w:val="20"/>
                      <w:szCs w:val="20"/>
                      <w:lang w:eastAsia="it-IT"/>
                    </w:rPr>
                    <w:t>UNI EN 13242</w:t>
                  </w:r>
                </w:p>
                <w:p w:rsidR="00FD040E" w:rsidRDefault="00000000">
                  <w:pPr>
                    <w:pStyle w:val="TableParagraph"/>
                    <w:rPr>
                      <w:rFonts w:ascii="Baskerville Old Face" w:hAnsi="Baskerville Old Face"/>
                      <w:bCs/>
                      <w:color w:val="000000"/>
                      <w:sz w:val="20"/>
                      <w:szCs w:val="20"/>
                      <w:lang w:eastAsia="it-IT"/>
                    </w:rPr>
                  </w:pPr>
                  <w:r>
                    <w:rPr>
                      <w:rFonts w:ascii="Baskerville Old Face" w:hAnsi="Baskerville Old Face"/>
                      <w:bCs/>
                      <w:color w:val="000000"/>
                      <w:sz w:val="20"/>
                      <w:szCs w:val="20"/>
                      <w:lang w:eastAsia="it-IT"/>
                    </w:rPr>
                    <w:t>UNI EN 13139</w:t>
                  </w:r>
                </w:p>
                <w:p w:rsidR="00FD040E" w:rsidRDefault="00000000">
                  <w:pPr>
                    <w:pStyle w:val="TableParagraph"/>
                    <w:rPr>
                      <w:rFonts w:ascii="Baskerville Old Face" w:hAnsi="Baskerville Old Face"/>
                      <w:bCs/>
                      <w:color w:val="000000"/>
                      <w:sz w:val="20"/>
                      <w:szCs w:val="20"/>
                      <w:lang w:eastAsia="it-IT"/>
                    </w:rPr>
                  </w:pPr>
                  <w:r>
                    <w:rPr>
                      <w:rFonts w:ascii="Baskerville Old Face" w:hAnsi="Baskerville Old Face"/>
                      <w:bCs/>
                      <w:color w:val="000000"/>
                      <w:sz w:val="20"/>
                      <w:szCs w:val="20"/>
                      <w:lang w:eastAsia="it-IT"/>
                    </w:rPr>
                    <w:t>UNI EN 13055</w:t>
                  </w:r>
                </w:p>
                <w:p w:rsidR="00FD040E" w:rsidRDefault="00FD040E">
                  <w:pPr>
                    <w:spacing w:after="0" w:line="240" w:lineRule="auto"/>
                    <w:ind w:right="222"/>
                    <w:jc w:val="center"/>
                    <w:rPr>
                      <w:rFonts w:ascii="Baskerville Old Face" w:eastAsia="Times New Roman" w:hAnsi="Baskerville Old Face"/>
                      <w:color w:val="000000"/>
                      <w:sz w:val="20"/>
                      <w:szCs w:val="20"/>
                      <w:lang w:eastAsia="it-IT"/>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tcPr>
                <w:p w:rsidR="00FD040E" w:rsidRDefault="00000000">
                  <w:pPr>
                    <w:pStyle w:val="TableParagraph"/>
                    <w:rPr>
                      <w:rFonts w:ascii="Baskerville Old Face" w:hAnsi="Baskerville Old Face"/>
                      <w:bCs/>
                      <w:color w:val="000000"/>
                      <w:sz w:val="20"/>
                      <w:szCs w:val="20"/>
                      <w:lang w:eastAsia="it-IT"/>
                    </w:rPr>
                  </w:pPr>
                  <w:r>
                    <w:rPr>
                      <w:rFonts w:ascii="Baskerville Old Face" w:hAnsi="Baskerville Old Face"/>
                      <w:bCs/>
                      <w:color w:val="000000"/>
                      <w:sz w:val="20"/>
                      <w:szCs w:val="20"/>
                      <w:lang w:eastAsia="it-IT"/>
                    </w:rPr>
                    <w:t>UNI EN 14227-1</w:t>
                  </w:r>
                </w:p>
                <w:p w:rsidR="00FD040E" w:rsidRDefault="00000000">
                  <w:pPr>
                    <w:pStyle w:val="TableParagraph"/>
                    <w:rPr>
                      <w:rFonts w:ascii="Baskerville Old Face" w:hAnsi="Baskerville Old Face"/>
                      <w:bCs/>
                      <w:color w:val="000000"/>
                      <w:sz w:val="20"/>
                      <w:szCs w:val="20"/>
                      <w:lang w:eastAsia="it-IT"/>
                    </w:rPr>
                  </w:pPr>
                  <w:r>
                    <w:rPr>
                      <w:rFonts w:ascii="Baskerville Old Face" w:hAnsi="Baskerville Old Face"/>
                      <w:bCs/>
                      <w:color w:val="000000"/>
                      <w:sz w:val="20"/>
                      <w:szCs w:val="20"/>
                      <w:lang w:eastAsia="it-IT"/>
                    </w:rPr>
                    <w:t>UNI 11531-2</w:t>
                  </w:r>
                </w:p>
                <w:p w:rsidR="00FD040E" w:rsidRDefault="00000000">
                  <w:pPr>
                    <w:pStyle w:val="TableParagraph"/>
                    <w:rPr>
                      <w:rFonts w:ascii="Baskerville Old Face" w:hAnsi="Baskerville Old Face"/>
                      <w:bCs/>
                      <w:color w:val="000000"/>
                      <w:sz w:val="20"/>
                      <w:szCs w:val="20"/>
                      <w:lang w:eastAsia="it-IT"/>
                    </w:rPr>
                  </w:pPr>
                  <w:r>
                    <w:rPr>
                      <w:rFonts w:ascii="Baskerville Old Face" w:hAnsi="Baskerville Old Face"/>
                      <w:bCs/>
                      <w:color w:val="000000"/>
                      <w:sz w:val="20"/>
                      <w:szCs w:val="20"/>
                      <w:lang w:eastAsia="it-IT"/>
                    </w:rPr>
                    <w:t>UNI EN 998-1</w:t>
                  </w:r>
                </w:p>
                <w:p w:rsidR="00FD040E" w:rsidRDefault="00000000">
                  <w:pPr>
                    <w:spacing w:after="0" w:line="240" w:lineRule="auto"/>
                    <w:ind w:right="223"/>
                    <w:jc w:val="center"/>
                  </w:pPr>
                  <w:r>
                    <w:rPr>
                      <w:rFonts w:ascii="Baskerville Old Face" w:eastAsia="Times New Roman" w:hAnsi="Baskerville Old Face"/>
                      <w:bCs/>
                      <w:color w:val="000000"/>
                      <w:sz w:val="20"/>
                      <w:szCs w:val="20"/>
                      <w:lang w:eastAsia="it-IT"/>
                    </w:rPr>
                    <w:t>UNI EN 998-2</w:t>
                  </w:r>
                </w:p>
              </w:tc>
            </w:tr>
            <w:tr w:rsidR="00FD040E">
              <w:tblPrEx>
                <w:tblCellMar>
                  <w:top w:w="0" w:type="dxa"/>
                  <w:bottom w:w="0" w:type="dxa"/>
                </w:tblCellMar>
              </w:tblPrEx>
              <w:trPr>
                <w:cantSplit/>
                <w:trHeight w:val="748"/>
              </w:trPr>
              <w:tc>
                <w:tcPr>
                  <w:tcW w:w="1788"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tcPr>
                <w:p w:rsidR="00FD040E" w:rsidRDefault="00000000">
                  <w:pPr>
                    <w:spacing w:after="0" w:line="240" w:lineRule="auto"/>
                    <w:ind w:left="26" w:firstLine="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 xml:space="preserve">Confezionamento di calcestruzzi </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tcPr>
                <w:p w:rsidR="00FD040E" w:rsidRDefault="00000000">
                  <w:pPr>
                    <w:pStyle w:val="TableParagraph"/>
                    <w:rPr>
                      <w:rFonts w:ascii="Baskerville Old Face" w:hAnsi="Baskerville Old Face"/>
                      <w:bCs/>
                      <w:color w:val="000000"/>
                      <w:sz w:val="20"/>
                      <w:szCs w:val="20"/>
                      <w:lang w:eastAsia="it-IT"/>
                    </w:rPr>
                  </w:pPr>
                  <w:r>
                    <w:rPr>
                      <w:rFonts w:ascii="Baskerville Old Face" w:hAnsi="Baskerville Old Face"/>
                      <w:bCs/>
                      <w:color w:val="000000"/>
                      <w:sz w:val="20"/>
                      <w:szCs w:val="20"/>
                      <w:lang w:eastAsia="it-IT"/>
                    </w:rPr>
                    <w:t>UNI EN 12620</w:t>
                  </w:r>
                </w:p>
                <w:p w:rsidR="00FD040E" w:rsidRDefault="00000000">
                  <w:pPr>
                    <w:pStyle w:val="TableParagraph"/>
                    <w:rPr>
                      <w:rFonts w:ascii="Baskerville Old Face" w:hAnsi="Baskerville Old Face"/>
                      <w:bCs/>
                      <w:color w:val="000000"/>
                      <w:sz w:val="20"/>
                      <w:szCs w:val="20"/>
                      <w:lang w:eastAsia="it-IT"/>
                    </w:rPr>
                  </w:pPr>
                  <w:r>
                    <w:rPr>
                      <w:rFonts w:ascii="Baskerville Old Face" w:hAnsi="Baskerville Old Face"/>
                      <w:bCs/>
                      <w:color w:val="000000"/>
                      <w:sz w:val="20"/>
                      <w:szCs w:val="20"/>
                      <w:lang w:eastAsia="it-IT"/>
                    </w:rPr>
                    <w:t>UNI EN 13055</w:t>
                  </w:r>
                </w:p>
                <w:p w:rsidR="00FD040E" w:rsidRDefault="00FD040E">
                  <w:pPr>
                    <w:spacing w:after="0" w:line="240" w:lineRule="auto"/>
                    <w:ind w:right="222"/>
                    <w:jc w:val="center"/>
                    <w:rPr>
                      <w:rFonts w:ascii="Baskerville Old Face" w:eastAsia="Times New Roman" w:hAnsi="Baskerville Old Face"/>
                      <w:color w:val="000000"/>
                      <w:sz w:val="20"/>
                      <w:szCs w:val="20"/>
                      <w:lang w:eastAsia="it-IT"/>
                    </w:rPr>
                  </w:pP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tcPr>
                <w:p w:rsidR="00FD040E" w:rsidRDefault="00000000">
                  <w:pPr>
                    <w:pStyle w:val="TableParagraph"/>
                    <w:rPr>
                      <w:rFonts w:ascii="Baskerville Old Face" w:hAnsi="Baskerville Old Face"/>
                      <w:bCs/>
                      <w:color w:val="000000"/>
                      <w:sz w:val="20"/>
                      <w:szCs w:val="20"/>
                      <w:lang w:eastAsia="it-IT"/>
                    </w:rPr>
                  </w:pPr>
                  <w:r>
                    <w:rPr>
                      <w:rFonts w:ascii="Baskerville Old Face" w:hAnsi="Baskerville Old Face"/>
                      <w:bCs/>
                      <w:color w:val="000000"/>
                      <w:sz w:val="20"/>
                      <w:szCs w:val="20"/>
                      <w:lang w:eastAsia="it-IT"/>
                    </w:rPr>
                    <w:t>UNI 8520-1</w:t>
                  </w:r>
                </w:p>
                <w:p w:rsidR="00FD040E" w:rsidRDefault="00000000">
                  <w:pPr>
                    <w:pStyle w:val="TableParagraph"/>
                    <w:rPr>
                      <w:rFonts w:ascii="Baskerville Old Face" w:hAnsi="Baskerville Old Face"/>
                      <w:bCs/>
                      <w:color w:val="000000"/>
                      <w:sz w:val="20"/>
                      <w:szCs w:val="20"/>
                      <w:lang w:eastAsia="it-IT"/>
                    </w:rPr>
                  </w:pPr>
                  <w:r>
                    <w:rPr>
                      <w:rFonts w:ascii="Baskerville Old Face" w:hAnsi="Baskerville Old Face"/>
                      <w:bCs/>
                      <w:color w:val="000000"/>
                      <w:sz w:val="20"/>
                      <w:szCs w:val="20"/>
                      <w:lang w:eastAsia="it-IT"/>
                    </w:rPr>
                    <w:t>UNI 8520-2</w:t>
                  </w:r>
                </w:p>
                <w:p w:rsidR="00FD040E" w:rsidRDefault="00000000">
                  <w:pPr>
                    <w:pStyle w:val="TableParagraph"/>
                    <w:rPr>
                      <w:rFonts w:ascii="Baskerville Old Face" w:hAnsi="Baskerville Old Face"/>
                      <w:bCs/>
                      <w:color w:val="000000"/>
                      <w:sz w:val="20"/>
                      <w:szCs w:val="20"/>
                      <w:lang w:eastAsia="it-IT"/>
                    </w:rPr>
                  </w:pPr>
                  <w:r>
                    <w:rPr>
                      <w:rFonts w:ascii="Baskerville Old Face" w:hAnsi="Baskerville Old Face"/>
                      <w:bCs/>
                      <w:color w:val="000000"/>
                      <w:sz w:val="20"/>
                      <w:szCs w:val="20"/>
                      <w:lang w:eastAsia="it-IT"/>
                    </w:rPr>
                    <w:t xml:space="preserve">UNI 11104 </w:t>
                  </w:r>
                </w:p>
                <w:p w:rsidR="00FD040E" w:rsidRDefault="00000000">
                  <w:pPr>
                    <w:pStyle w:val="TableParagraph"/>
                    <w:rPr>
                      <w:rFonts w:ascii="Baskerville Old Face" w:hAnsi="Baskerville Old Face"/>
                      <w:bCs/>
                      <w:color w:val="000000"/>
                      <w:sz w:val="20"/>
                      <w:szCs w:val="20"/>
                      <w:lang w:eastAsia="it-IT"/>
                    </w:rPr>
                  </w:pPr>
                  <w:r>
                    <w:rPr>
                      <w:rFonts w:ascii="Baskerville Old Face" w:hAnsi="Baskerville Old Face"/>
                      <w:bCs/>
                      <w:color w:val="000000"/>
                      <w:sz w:val="20"/>
                      <w:szCs w:val="20"/>
                      <w:lang w:eastAsia="it-IT"/>
                    </w:rPr>
                    <w:t>UNI EN 206 Appendice E</w:t>
                  </w:r>
                </w:p>
                <w:p w:rsidR="00FD040E" w:rsidRDefault="00000000">
                  <w:pPr>
                    <w:spacing w:after="0" w:line="240" w:lineRule="auto"/>
                    <w:ind w:right="223"/>
                    <w:jc w:val="center"/>
                  </w:pPr>
                  <w:r>
                    <w:rPr>
                      <w:rFonts w:ascii="Baskerville Old Face" w:eastAsia="Times New Roman" w:hAnsi="Baskerville Old Face"/>
                      <w:bCs/>
                      <w:color w:val="000000"/>
                      <w:sz w:val="20"/>
                      <w:szCs w:val="20"/>
                      <w:lang w:eastAsia="it-IT"/>
                    </w:rPr>
                    <w:t>Dm 17 genn. 2018 NTC: par. 11.2.9.2</w:t>
                  </w:r>
                </w:p>
              </w:tc>
            </w:tr>
            <w:tr w:rsidR="00FD040E">
              <w:tblPrEx>
                <w:tblCellMar>
                  <w:top w:w="0" w:type="dxa"/>
                  <w:bottom w:w="0" w:type="dxa"/>
                </w:tblCellMar>
              </w:tblPrEx>
              <w:trPr>
                <w:cantSplit/>
                <w:trHeight w:val="748"/>
              </w:trPr>
              <w:tc>
                <w:tcPr>
                  <w:tcW w:w="1788"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tcPr>
                <w:p w:rsidR="00FD040E" w:rsidRDefault="00000000">
                  <w:pPr>
                    <w:spacing w:after="0" w:line="240" w:lineRule="auto"/>
                    <w:ind w:left="26" w:firstLine="5"/>
                    <w:jc w:val="center"/>
                    <w:rPr>
                      <w:rFonts w:ascii="Baskerville Old Face" w:eastAsia="Times New Roman" w:hAnsi="Baskerville Old Face"/>
                      <w:sz w:val="20"/>
                      <w:szCs w:val="20"/>
                      <w:lang w:eastAsia="it-IT"/>
                    </w:rPr>
                  </w:pPr>
                  <w:r>
                    <w:rPr>
                      <w:rFonts w:ascii="Baskerville Old Face" w:eastAsia="Times New Roman" w:hAnsi="Baskerville Old Face"/>
                      <w:sz w:val="20"/>
                      <w:szCs w:val="20"/>
                      <w:lang w:eastAsia="it-IT"/>
                    </w:rPr>
                    <w:t>Produzione di clinker per cemento</w:t>
                  </w:r>
                </w:p>
              </w:tc>
              <w:tc>
                <w:tcPr>
                  <w:tcW w:w="1366"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tcPr>
                <w:p w:rsidR="00FD040E" w:rsidRDefault="00000000">
                  <w:pPr>
                    <w:spacing w:after="0" w:line="240" w:lineRule="auto"/>
                    <w:ind w:right="222"/>
                    <w:jc w:val="center"/>
                  </w:pPr>
                  <w:r>
                    <w:rPr>
                      <w:rFonts w:ascii="Baskerville Old Face" w:eastAsia="Times New Roman" w:hAnsi="Baskerville Old Face"/>
                      <w:bCs/>
                      <w:color w:val="000000"/>
                      <w:sz w:val="20"/>
                      <w:szCs w:val="20"/>
                      <w:lang w:eastAsia="it-IT"/>
                    </w:rPr>
                    <w:t>Non pertinente</w:t>
                  </w:r>
                </w:p>
              </w:tc>
              <w:tc>
                <w:tcPr>
                  <w:tcW w:w="1550" w:type="dxa"/>
                  <w:tcBorders>
                    <w:top w:val="single" w:sz="4" w:space="0" w:color="000000"/>
                    <w:left w:val="single" w:sz="4" w:space="0" w:color="000000"/>
                    <w:bottom w:val="single" w:sz="4" w:space="0" w:color="000000"/>
                    <w:right w:val="single" w:sz="4" w:space="0" w:color="000000"/>
                  </w:tcBorders>
                  <w:shd w:val="clear" w:color="auto" w:fill="auto"/>
                  <w:tcMar>
                    <w:top w:w="58" w:type="dxa"/>
                    <w:left w:w="223" w:type="dxa"/>
                    <w:bottom w:w="0" w:type="dxa"/>
                    <w:right w:w="115" w:type="dxa"/>
                  </w:tcMar>
                </w:tcPr>
                <w:p w:rsidR="00FD040E" w:rsidRDefault="00000000">
                  <w:pPr>
                    <w:spacing w:after="0" w:line="240" w:lineRule="auto"/>
                    <w:ind w:right="223"/>
                    <w:jc w:val="center"/>
                  </w:pPr>
                  <w:r>
                    <w:rPr>
                      <w:rFonts w:ascii="Baskerville Old Face" w:eastAsia="Times New Roman" w:hAnsi="Baskerville Old Face"/>
                      <w:bCs/>
                      <w:sz w:val="20"/>
                      <w:szCs w:val="20"/>
                      <w:lang w:eastAsia="it-IT"/>
                    </w:rPr>
                    <w:t>Non ci sono norme da indicare per l’idoneità tecnica degli aggregati riciclati per l’uso specifico, ma si potrebbero richiamare i parametri della Tabella 2a dell’Allegato 1</w:t>
                  </w:r>
                </w:p>
              </w:tc>
            </w:tr>
          </w:tbl>
          <w:p w:rsidR="00FD040E" w:rsidRDefault="00000000">
            <w:pPr>
              <w:pStyle w:val="Default"/>
              <w:spacing w:before="120" w:after="120"/>
              <w:jc w:val="both"/>
              <w:rPr>
                <w:rFonts w:ascii="Baskerville Old Face" w:hAnsi="Baskerville Old Face" w:cs="Calibri"/>
                <w:color w:val="auto"/>
                <w:sz w:val="20"/>
                <w:szCs w:val="20"/>
              </w:rPr>
            </w:pPr>
            <w:r>
              <w:rPr>
                <w:rFonts w:ascii="Baskerville Old Face" w:hAnsi="Baskerville Old Face" w:cs="Calibri"/>
                <w:color w:val="auto"/>
                <w:sz w:val="20"/>
                <w:szCs w:val="20"/>
              </w:rPr>
              <w:t xml:space="preserve">Per tutti gli utilizzi si applica la Marcatura CE come disposto dal Regolamento (UE) n. 305/2011 del Parlamento europeo e del Consiglio del 9 marzo 2011.  </w:t>
            </w:r>
          </w:p>
          <w:p w:rsidR="00FD040E" w:rsidRDefault="00000000">
            <w:pPr>
              <w:pStyle w:val="Default"/>
              <w:spacing w:before="120" w:after="120"/>
              <w:jc w:val="both"/>
            </w:pPr>
            <w:r>
              <w:rPr>
                <w:rFonts w:ascii="Baskerville Old Face" w:hAnsi="Baskerville Old Face" w:cs="Calibri"/>
                <w:color w:val="auto"/>
                <w:sz w:val="20"/>
                <w:szCs w:val="20"/>
              </w:rPr>
              <w:t>Per gli utilizzi di cui alla lettera f) e lettera g) debbono essere rispettati i limiti di cui alla voce 47 dell'allegato XVII del regolamento (CE) n. 1907/2006, del Parlamento europeo e del Consiglio, del 18 dicembre 2006, relativi alla presenza di cromo VI nel cemento e nelle miscele contenenti cemento.</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D040E" w:rsidRDefault="00000000">
            <w:pPr>
              <w:pStyle w:val="Default"/>
              <w:spacing w:before="120" w:after="120"/>
              <w:jc w:val="both"/>
              <w:rPr>
                <w:rFonts w:ascii="Baskerville Old Face" w:hAnsi="Baskerville Old Face" w:cs="Calibri"/>
                <w:b/>
                <w:bCs/>
                <w:color w:val="auto"/>
                <w:sz w:val="20"/>
                <w:szCs w:val="20"/>
              </w:rPr>
            </w:pPr>
            <w:r>
              <w:rPr>
                <w:rFonts w:ascii="Baskerville Old Face" w:hAnsi="Baskerville Old Face" w:cs="Calibri"/>
                <w:b/>
                <w:bCs/>
                <w:color w:val="auto"/>
                <w:sz w:val="20"/>
                <w:szCs w:val="20"/>
              </w:rPr>
              <w:t xml:space="preserve">Allegato 3 </w:t>
            </w:r>
          </w:p>
          <w:p w:rsidR="00FD040E" w:rsidRDefault="00000000">
            <w:pPr>
              <w:pStyle w:val="Default"/>
              <w:spacing w:before="120" w:after="120"/>
              <w:jc w:val="both"/>
              <w:rPr>
                <w:rFonts w:ascii="Baskerville Old Face" w:hAnsi="Baskerville Old Face" w:cs="Calibri"/>
                <w:b/>
                <w:bCs/>
                <w:color w:val="auto"/>
                <w:sz w:val="20"/>
                <w:szCs w:val="20"/>
              </w:rPr>
            </w:pPr>
            <w:r>
              <w:rPr>
                <w:rFonts w:ascii="Baskerville Old Face" w:hAnsi="Baskerville Old Face" w:cs="Calibri"/>
                <w:b/>
                <w:bCs/>
                <w:color w:val="auto"/>
                <w:sz w:val="20"/>
                <w:szCs w:val="20"/>
              </w:rPr>
              <w:t>(Articolo 5)</w:t>
            </w:r>
          </w:p>
        </w:tc>
        <w:tc>
          <w:tcPr>
            <w:tcW w:w="241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r w:rsidR="00FD040E">
        <w:tblPrEx>
          <w:tblCellMar>
            <w:top w:w="0" w:type="dxa"/>
            <w:bottom w:w="0" w:type="dxa"/>
          </w:tblCellMar>
        </w:tblPrEx>
        <w:tc>
          <w:tcPr>
            <w:tcW w:w="6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000000">
            <w:pPr>
              <w:pStyle w:val="Default"/>
              <w:spacing w:before="120" w:after="120"/>
              <w:jc w:val="both"/>
              <w:rPr>
                <w:rFonts w:ascii="Baskerville Old Face" w:hAnsi="Baskerville Old Face" w:cs="Calibri"/>
                <w:b/>
                <w:bCs/>
                <w:color w:val="auto"/>
                <w:sz w:val="20"/>
                <w:szCs w:val="20"/>
              </w:rPr>
            </w:pPr>
            <w:r>
              <w:rPr>
                <w:rFonts w:ascii="Baskerville Old Face" w:hAnsi="Baskerville Old Face" w:cs="Calibri"/>
                <w:b/>
                <w:bCs/>
                <w:color w:val="auto"/>
                <w:sz w:val="20"/>
                <w:szCs w:val="20"/>
              </w:rPr>
              <w:t>Dichiarazione di conformità</w:t>
            </w:r>
          </w:p>
          <w:p w:rsidR="00FD040E" w:rsidRDefault="00000000">
            <w:pPr>
              <w:pStyle w:val="Default"/>
              <w:spacing w:before="120" w:after="120"/>
              <w:jc w:val="both"/>
            </w:pPr>
            <w:r>
              <w:rPr>
                <w:rFonts w:ascii="Baskerville Old Face" w:hAnsi="Baskerville Old Face" w:cs="Calibri"/>
                <w:color w:val="auto"/>
                <w:sz w:val="20"/>
                <w:szCs w:val="20"/>
              </w:rPr>
              <w:t>Allegato</w:t>
            </w:r>
          </w:p>
        </w:tc>
        <w:tc>
          <w:tcPr>
            <w:tcW w:w="24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FD040E" w:rsidRDefault="00FD040E">
            <w:pPr>
              <w:spacing w:after="0" w:line="240" w:lineRule="auto"/>
              <w:rPr>
                <w:rFonts w:ascii="Times New Roman" w:hAnsi="Times New Roman"/>
                <w:sz w:val="20"/>
                <w:szCs w:val="20"/>
              </w:rPr>
            </w:pPr>
          </w:p>
        </w:tc>
        <w:tc>
          <w:tcPr>
            <w:tcW w:w="29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c>
          <w:tcPr>
            <w:tcW w:w="2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D040E" w:rsidRDefault="00FD040E">
            <w:pPr>
              <w:spacing w:after="0" w:line="240" w:lineRule="auto"/>
              <w:rPr>
                <w:rFonts w:ascii="Times New Roman" w:hAnsi="Times New Roman"/>
                <w:sz w:val="20"/>
                <w:szCs w:val="20"/>
              </w:rPr>
            </w:pPr>
          </w:p>
        </w:tc>
      </w:tr>
    </w:tbl>
    <w:p w:rsidR="00FD040E" w:rsidRDefault="00FD040E">
      <w:pPr>
        <w:rPr>
          <w:sz w:val="20"/>
          <w:szCs w:val="20"/>
        </w:rPr>
      </w:pPr>
    </w:p>
    <w:sectPr w:rsidR="00FD040E">
      <w:pgSz w:w="16838" w:h="11906" w:orient="landscape"/>
      <w:pgMar w:top="1134" w:right="1417"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F5395" w:rsidRDefault="00DF5395">
      <w:pPr>
        <w:spacing w:after="0" w:line="240" w:lineRule="auto"/>
      </w:pPr>
      <w:r>
        <w:separator/>
      </w:r>
    </w:p>
  </w:endnote>
  <w:endnote w:type="continuationSeparator" w:id="0">
    <w:p w:rsidR="00DF5395" w:rsidRDefault="00DF5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F5395" w:rsidRDefault="00DF5395">
      <w:pPr>
        <w:spacing w:after="0" w:line="240" w:lineRule="auto"/>
      </w:pPr>
      <w:r>
        <w:rPr>
          <w:color w:val="000000"/>
        </w:rPr>
        <w:separator/>
      </w:r>
    </w:p>
  </w:footnote>
  <w:footnote w:type="continuationSeparator" w:id="0">
    <w:p w:rsidR="00DF5395" w:rsidRDefault="00DF53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3FE9"/>
    <w:multiLevelType w:val="multilevel"/>
    <w:tmpl w:val="23F6F7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7C0186"/>
    <w:multiLevelType w:val="multilevel"/>
    <w:tmpl w:val="3BE06B6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75075251"/>
    <w:multiLevelType w:val="multilevel"/>
    <w:tmpl w:val="614E6C48"/>
    <w:lvl w:ilvl="0">
      <w:numFmt w:val="bullet"/>
      <w:lvlText w:val=""/>
      <w:lvlJc w:val="left"/>
      <w:pPr>
        <w:ind w:left="720" w:hanging="360"/>
      </w:pPr>
      <w:rPr>
        <w:rFonts w:ascii="Symbol" w:hAnsi="Symbol"/>
      </w:rPr>
    </w:lvl>
    <w:lvl w:ilvl="1">
      <w:numFmt w:val="bullet"/>
      <w:lvlText w:val="-"/>
      <w:lvlJc w:val="left"/>
      <w:pPr>
        <w:ind w:left="1440" w:hanging="360"/>
      </w:pPr>
      <w:rPr>
        <w:rFonts w:ascii="Baskerville Old Face" w:eastAsia="Calibri" w:hAnsi="Baskerville Old Face" w:cs="Calibri"/>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373336270">
    <w:abstractNumId w:val="0"/>
  </w:num>
  <w:num w:numId="2" w16cid:durableId="1221286514">
    <w:abstractNumId w:val="2"/>
  </w:num>
  <w:num w:numId="3" w16cid:durableId="17795229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FD040E"/>
    <w:rsid w:val="000E7C58"/>
    <w:rsid w:val="0024694F"/>
    <w:rsid w:val="00DF5395"/>
    <w:rsid w:val="00FD04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8E4AA5-0932-4B8B-8EDE-9F36EDEE8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en-US" w:bidi="ar-SA"/>
      </w:rPr>
    </w:rPrDefault>
    <w:pPrDefault>
      <w:pPr>
        <w:autoSpaceDN w:val="0"/>
        <w:spacing w:after="160" w:line="25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p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olor w:val="1F4D78"/>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pPr>
      <w:ind w:left="720"/>
    </w:pPr>
  </w:style>
  <w:style w:type="paragraph" w:styleId="Revisione">
    <w:name w:val="Revision"/>
    <w:pPr>
      <w:suppressAutoHyphens/>
      <w:spacing w:after="0" w:line="240" w:lineRule="auto"/>
    </w:pPr>
  </w:style>
  <w:style w:type="paragraph" w:styleId="PreformattatoHTML">
    <w:name w:val="HTML Preformatted"/>
    <w:pPr>
      <w:pBdr>
        <w:top w:val="single" w:sz="2" w:space="31" w:color="FFFFFF" w:shadow="1"/>
        <w:left w:val="single" w:sz="2" w:space="31" w:color="FFFFFF" w:shadow="1"/>
        <w:bottom w:val="single" w:sz="2" w:space="31" w:color="FFFFFF" w:shadow="1"/>
        <w:right w:val="single" w:sz="2" w:space="31" w:color="FFFFFF" w:shadow="1"/>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color w:val="000000"/>
      <w:sz w:val="20"/>
      <w:szCs w:val="20"/>
      <w:lang w:eastAsia="it-IT"/>
    </w:rPr>
  </w:style>
  <w:style w:type="character" w:customStyle="1" w:styleId="PreformattatoHTMLCarattere">
    <w:name w:val="Preformattato HTML Carattere"/>
    <w:basedOn w:val="Carpredefinitoparagrafo"/>
    <w:rPr>
      <w:rFonts w:ascii="Courier New" w:eastAsia="Courier New" w:hAnsi="Courier New" w:cs="Courier New"/>
      <w:color w:val="000000"/>
      <w:sz w:val="20"/>
      <w:szCs w:val="20"/>
      <w:lang w:eastAsia="it-IT"/>
    </w:rPr>
  </w:style>
  <w:style w:type="paragraph" w:customStyle="1" w:styleId="Default">
    <w:name w:val="Default"/>
    <w:pPr>
      <w:suppressAutoHyphens/>
      <w:autoSpaceDE w:val="0"/>
      <w:spacing w:after="0" w:line="240" w:lineRule="auto"/>
    </w:pPr>
    <w:rPr>
      <w:rFonts w:ascii="Times New Roman" w:hAnsi="Times New Roman"/>
      <w:color w:val="000000"/>
      <w:sz w:val="24"/>
      <w:szCs w:val="24"/>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paragraph" w:styleId="Testonotaapidipagina">
    <w:name w:val="footnote text"/>
    <w:basedOn w:val="Normale"/>
    <w:pPr>
      <w:spacing w:after="0" w:line="240" w:lineRule="auto"/>
    </w:pPr>
    <w:rPr>
      <w:sz w:val="20"/>
      <w:szCs w:val="20"/>
    </w:rPr>
  </w:style>
  <w:style w:type="character" w:customStyle="1" w:styleId="TestonotaapidipaginaCarattere">
    <w:name w:val="Testo nota a piè di pagina Carattere"/>
    <w:basedOn w:val="Carpredefinitoparagrafo"/>
    <w:rPr>
      <w:sz w:val="20"/>
      <w:szCs w:val="20"/>
    </w:rPr>
  </w:style>
  <w:style w:type="character" w:styleId="Rimandonotaapidipagina">
    <w:name w:val="footnote reference"/>
    <w:basedOn w:val="Carpredefinitoparagrafo"/>
    <w:rPr>
      <w:position w:val="0"/>
      <w:vertAlign w:val="superscript"/>
    </w:rPr>
  </w:style>
  <w:style w:type="paragraph" w:customStyle="1" w:styleId="TableParagraph">
    <w:name w:val="Table Paragraph"/>
    <w:basedOn w:val="Normale"/>
    <w:pPr>
      <w:widowControl w:val="0"/>
      <w:autoSpaceDE w:val="0"/>
      <w:spacing w:after="0" w:line="240" w:lineRule="auto"/>
    </w:pPr>
    <w:rPr>
      <w:rFonts w:ascii="Times New Roman" w:eastAsia="Times New Roman" w:hAnsi="Times New Roman"/>
    </w:rPr>
  </w:style>
  <w:style w:type="character" w:styleId="Collegamentoipertestuale">
    <w:name w:val="Hyperlink"/>
    <w:basedOn w:val="Carpredefinitoparagrafo"/>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EC@pec.mite.gov.it" TargetMode="External"/><Relationship Id="rId3" Type="http://schemas.openxmlformats.org/officeDocument/2006/relationships/settings" Target="settings.xml"/><Relationship Id="rId7" Type="http://schemas.openxmlformats.org/officeDocument/2006/relationships/hyperlink" Target="mailto:DISS@pec.mite.%20gov.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4107</Words>
  <Characters>23416</Characters>
  <Application>Microsoft Office Word</Application>
  <DocSecurity>0</DocSecurity>
  <Lines>195</Lines>
  <Paragraphs>54</Paragraphs>
  <ScaleCrop>false</ScaleCrop>
  <Company/>
  <LinksUpToDate>false</LinksUpToDate>
  <CharactersWithSpaces>27469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Martinelli Angiolo</dc:creator>
  <dc:description/>
  <cp:lastModifiedBy>Dario Cesaretti</cp:lastModifiedBy>
  <cp:revision>2</cp:revision>
  <cp:lastPrinted>2023-02-23T07:50:00Z</cp:lastPrinted>
  <dcterms:created xsi:type="dcterms:W3CDTF">2023-04-27T09:05:00Z</dcterms:created>
  <dcterms:modified xsi:type="dcterms:W3CDTF">2023-04-27T09:05:00Z</dcterms:modified>
</cp:coreProperties>
</file>