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5000" w:type="pct"/>
        <w:tblLook w:val="04A0" w:firstRow="1" w:lastRow="0" w:firstColumn="1" w:lastColumn="0" w:noHBand="0" w:noVBand="1"/>
      </w:tblPr>
      <w:tblGrid>
        <w:gridCol w:w="7138"/>
        <w:gridCol w:w="7139"/>
      </w:tblGrid>
      <w:tr w:rsidR="00696D28" w:rsidRPr="00696D28" w14:paraId="6A2FEB22" w14:textId="6DC4386B" w:rsidTr="00696D28">
        <w:tc>
          <w:tcPr>
            <w:tcW w:w="2500" w:type="pct"/>
          </w:tcPr>
          <w:p w14:paraId="3F70EC8E" w14:textId="77777777" w:rsidR="00696D28" w:rsidRPr="00696D28" w:rsidRDefault="00696D28" w:rsidP="00A317BF">
            <w:pPr>
              <w:jc w:val="both"/>
              <w:rPr>
                <w:rFonts w:asciiTheme="minorHAnsi" w:hAnsiTheme="minorHAnsi"/>
                <w:b/>
                <w:sz w:val="24"/>
                <w:szCs w:val="24"/>
              </w:rPr>
            </w:pPr>
            <w:r w:rsidRPr="00696D28">
              <w:rPr>
                <w:rFonts w:asciiTheme="minorHAnsi" w:hAnsiTheme="minorHAnsi"/>
                <w:b/>
                <w:sz w:val="24"/>
                <w:szCs w:val="24"/>
              </w:rPr>
              <w:t>Art. 1 Oggetto e finalità</w:t>
            </w:r>
          </w:p>
        </w:tc>
        <w:tc>
          <w:tcPr>
            <w:tcW w:w="2500" w:type="pct"/>
          </w:tcPr>
          <w:p w14:paraId="1BB54A5F" w14:textId="77777777" w:rsidR="00696D28" w:rsidRPr="00696D28" w:rsidRDefault="00696D28" w:rsidP="00A317BF">
            <w:pPr>
              <w:jc w:val="both"/>
              <w:rPr>
                <w:rFonts w:asciiTheme="minorHAnsi" w:hAnsiTheme="minorHAnsi"/>
                <w:b/>
                <w:sz w:val="24"/>
                <w:szCs w:val="24"/>
              </w:rPr>
            </w:pPr>
          </w:p>
        </w:tc>
      </w:tr>
      <w:tr w:rsidR="00696D28" w:rsidRPr="00696D28" w14:paraId="358B9273" w14:textId="14F2EEC3" w:rsidTr="00696D28">
        <w:tc>
          <w:tcPr>
            <w:tcW w:w="2500" w:type="pct"/>
          </w:tcPr>
          <w:p w14:paraId="4B5C789A" w14:textId="77777777" w:rsidR="00696D28" w:rsidRPr="00696D28" w:rsidRDefault="00696D28" w:rsidP="00A317BF">
            <w:pPr>
              <w:pStyle w:val="Paragrafoelenco"/>
              <w:numPr>
                <w:ilvl w:val="0"/>
                <w:numId w:val="1"/>
              </w:numPr>
              <w:spacing w:after="200" w:line="276" w:lineRule="auto"/>
              <w:ind w:left="315" w:hanging="284"/>
              <w:jc w:val="both"/>
              <w:rPr>
                <w:rFonts w:asciiTheme="minorHAnsi" w:hAnsiTheme="minorHAnsi"/>
                <w:bCs/>
                <w:sz w:val="24"/>
                <w:szCs w:val="24"/>
              </w:rPr>
            </w:pPr>
            <w:r w:rsidRPr="00696D28">
              <w:rPr>
                <w:rFonts w:asciiTheme="minorHAnsi" w:hAnsiTheme="minorHAnsi"/>
                <w:bCs/>
                <w:sz w:val="24"/>
                <w:szCs w:val="24"/>
              </w:rPr>
              <w:t>La presente legge ha per oggetto l’individuazione delle superfici e delle aree di cui all’art. 1 del DM 21 giugno 2024:</w:t>
            </w:r>
          </w:p>
        </w:tc>
        <w:tc>
          <w:tcPr>
            <w:tcW w:w="2500" w:type="pct"/>
          </w:tcPr>
          <w:p w14:paraId="46BE76EC" w14:textId="6FEFDAD3" w:rsidR="00696D28" w:rsidRPr="00696D28" w:rsidRDefault="00696D28" w:rsidP="00696D28">
            <w:pPr>
              <w:spacing w:after="200" w:line="276" w:lineRule="auto"/>
              <w:jc w:val="both"/>
              <w:rPr>
                <w:rFonts w:asciiTheme="minorHAnsi" w:hAnsiTheme="minorHAnsi"/>
                <w:bCs/>
                <w:sz w:val="24"/>
                <w:szCs w:val="24"/>
              </w:rPr>
            </w:pPr>
          </w:p>
        </w:tc>
      </w:tr>
      <w:tr w:rsidR="00696D28" w:rsidRPr="00696D28" w14:paraId="6C98E436" w14:textId="13E50B89" w:rsidTr="00696D28">
        <w:tc>
          <w:tcPr>
            <w:tcW w:w="2500" w:type="pct"/>
          </w:tcPr>
          <w:p w14:paraId="467E0BD6" w14:textId="77777777" w:rsidR="00696D28" w:rsidRPr="00696D28" w:rsidRDefault="00696D28" w:rsidP="00A317BF">
            <w:pPr>
              <w:pStyle w:val="Paragrafoelenco"/>
              <w:numPr>
                <w:ilvl w:val="1"/>
                <w:numId w:val="1"/>
              </w:numPr>
              <w:spacing w:after="200" w:line="276" w:lineRule="auto"/>
              <w:ind w:left="740" w:hanging="380"/>
              <w:jc w:val="both"/>
              <w:rPr>
                <w:rFonts w:asciiTheme="minorHAnsi" w:hAnsiTheme="minorHAnsi"/>
                <w:bCs/>
                <w:sz w:val="24"/>
                <w:szCs w:val="24"/>
              </w:rPr>
            </w:pPr>
            <w:r w:rsidRPr="00696D28">
              <w:rPr>
                <w:rFonts w:asciiTheme="minorHAnsi" w:hAnsiTheme="minorHAnsi"/>
                <w:bCs/>
                <w:sz w:val="24"/>
                <w:szCs w:val="24"/>
              </w:rPr>
              <w:t>superfici e aree idonee: le aree in cui è previsto un iter accelerato ed agevolato per la costruzione ed esercizio degli impianti a fonti rinnovabili e delle infrastrutture connesse secondo le disposizioni vigenti di cui all'art. 22 del decreto legislativo 8 novembre 2021, n. 199;</w:t>
            </w:r>
          </w:p>
        </w:tc>
        <w:tc>
          <w:tcPr>
            <w:tcW w:w="2500" w:type="pct"/>
          </w:tcPr>
          <w:p w14:paraId="54F84B67" w14:textId="77777777" w:rsidR="00696D28" w:rsidRPr="00696D28" w:rsidRDefault="00696D28" w:rsidP="00696D28">
            <w:pPr>
              <w:spacing w:after="200" w:line="276" w:lineRule="auto"/>
              <w:jc w:val="both"/>
              <w:rPr>
                <w:rFonts w:asciiTheme="minorHAnsi" w:hAnsiTheme="minorHAnsi"/>
                <w:bCs/>
                <w:sz w:val="24"/>
                <w:szCs w:val="24"/>
              </w:rPr>
            </w:pPr>
          </w:p>
        </w:tc>
      </w:tr>
      <w:tr w:rsidR="00696D28" w:rsidRPr="00696D28" w14:paraId="4FDE943B" w14:textId="547196F1" w:rsidTr="00696D28">
        <w:tc>
          <w:tcPr>
            <w:tcW w:w="2500" w:type="pct"/>
          </w:tcPr>
          <w:p w14:paraId="4077D2CB" w14:textId="77777777" w:rsidR="00696D28" w:rsidRPr="00696D28" w:rsidRDefault="00696D28" w:rsidP="00A317BF">
            <w:pPr>
              <w:pStyle w:val="Paragrafoelenco"/>
              <w:numPr>
                <w:ilvl w:val="1"/>
                <w:numId w:val="1"/>
              </w:numPr>
              <w:spacing w:after="200" w:line="276" w:lineRule="auto"/>
              <w:ind w:left="740" w:hanging="380"/>
              <w:jc w:val="both"/>
              <w:rPr>
                <w:rFonts w:asciiTheme="minorHAnsi" w:hAnsiTheme="minorHAnsi"/>
                <w:bCs/>
                <w:sz w:val="24"/>
                <w:szCs w:val="24"/>
              </w:rPr>
            </w:pPr>
            <w:r w:rsidRPr="00696D28">
              <w:rPr>
                <w:rFonts w:asciiTheme="minorHAnsi" w:hAnsiTheme="minorHAnsi"/>
                <w:bCs/>
                <w:sz w:val="24"/>
                <w:szCs w:val="24"/>
              </w:rPr>
              <w:t xml:space="preserve">superfici e aree non idonee: aree e siti le cui caratteristiche sono incompatibili con l'installazione di specifiche tipologie di impianti secondo le modalità' stabilite dal paragrafo 17 e dall'allegato 3 delle linee guida emanate con decreto del Ministero dello sviluppo economico 10 settembre 2010, pubblicato nella Gazzetta Ufficiale 18 settembre 2010, n. 219 e successive modifiche e integrazioni; </w:t>
            </w:r>
          </w:p>
        </w:tc>
        <w:tc>
          <w:tcPr>
            <w:tcW w:w="2500" w:type="pct"/>
          </w:tcPr>
          <w:p w14:paraId="24B8844D" w14:textId="77777777" w:rsidR="00696D28" w:rsidRPr="00696D28" w:rsidRDefault="00696D28" w:rsidP="00696D28">
            <w:pPr>
              <w:spacing w:after="200" w:line="276" w:lineRule="auto"/>
              <w:jc w:val="both"/>
              <w:rPr>
                <w:rFonts w:asciiTheme="minorHAnsi" w:hAnsiTheme="minorHAnsi"/>
                <w:bCs/>
                <w:sz w:val="24"/>
                <w:szCs w:val="24"/>
              </w:rPr>
            </w:pPr>
          </w:p>
        </w:tc>
      </w:tr>
      <w:tr w:rsidR="00696D28" w:rsidRPr="00696D28" w14:paraId="1F8CACDF" w14:textId="55B85543" w:rsidTr="00696D28">
        <w:tc>
          <w:tcPr>
            <w:tcW w:w="2500" w:type="pct"/>
          </w:tcPr>
          <w:p w14:paraId="28E97726" w14:textId="77777777" w:rsidR="00696D28" w:rsidRPr="00696D28" w:rsidRDefault="00696D28" w:rsidP="00A317BF">
            <w:pPr>
              <w:pStyle w:val="Paragrafoelenco"/>
              <w:numPr>
                <w:ilvl w:val="1"/>
                <w:numId w:val="1"/>
              </w:numPr>
              <w:spacing w:after="200" w:line="276" w:lineRule="auto"/>
              <w:ind w:left="740" w:hanging="380"/>
              <w:jc w:val="both"/>
              <w:rPr>
                <w:rFonts w:asciiTheme="minorHAnsi" w:hAnsiTheme="minorHAnsi"/>
                <w:bCs/>
                <w:sz w:val="24"/>
                <w:szCs w:val="24"/>
              </w:rPr>
            </w:pPr>
            <w:r w:rsidRPr="00696D28">
              <w:rPr>
                <w:rFonts w:asciiTheme="minorHAnsi" w:hAnsiTheme="minorHAnsi"/>
                <w:bCs/>
                <w:sz w:val="24"/>
                <w:szCs w:val="24"/>
              </w:rPr>
              <w:t>superfici e aree ordinarie: superfici e aree diverse da quelle delle lettere a) e b) e nelle quali si applicano i regimi autorizzativi ordinari di cui al decreto legislativo n. 28 del 2011 e successive modifiche e integrazioni;</w:t>
            </w:r>
            <w:r w:rsidRPr="00696D28">
              <w:rPr>
                <w:rFonts w:asciiTheme="minorHAnsi" w:hAnsiTheme="minorHAnsi"/>
                <w:sz w:val="24"/>
                <w:szCs w:val="24"/>
              </w:rPr>
              <w:t xml:space="preserve"> </w:t>
            </w:r>
          </w:p>
        </w:tc>
        <w:tc>
          <w:tcPr>
            <w:tcW w:w="2500" w:type="pct"/>
          </w:tcPr>
          <w:p w14:paraId="1BABDCA2" w14:textId="77777777" w:rsidR="00696D28" w:rsidRPr="00696D28" w:rsidRDefault="00696D28" w:rsidP="00696D28">
            <w:pPr>
              <w:spacing w:after="200" w:line="276" w:lineRule="auto"/>
              <w:jc w:val="both"/>
              <w:rPr>
                <w:rFonts w:asciiTheme="minorHAnsi" w:hAnsiTheme="minorHAnsi"/>
                <w:bCs/>
                <w:sz w:val="24"/>
                <w:szCs w:val="24"/>
              </w:rPr>
            </w:pPr>
          </w:p>
        </w:tc>
      </w:tr>
      <w:tr w:rsidR="00696D28" w:rsidRPr="00696D28" w14:paraId="49810B09" w14:textId="2B3BFEE8" w:rsidTr="00696D28">
        <w:tc>
          <w:tcPr>
            <w:tcW w:w="2500" w:type="pct"/>
          </w:tcPr>
          <w:p w14:paraId="72D0A619" w14:textId="77777777" w:rsidR="00696D28" w:rsidRPr="00696D28" w:rsidRDefault="00696D28" w:rsidP="00A317BF">
            <w:pPr>
              <w:pStyle w:val="Paragrafoelenco"/>
              <w:numPr>
                <w:ilvl w:val="0"/>
                <w:numId w:val="1"/>
              </w:numPr>
              <w:spacing w:after="200" w:line="276" w:lineRule="auto"/>
              <w:ind w:left="315" w:hanging="284"/>
              <w:jc w:val="both"/>
              <w:rPr>
                <w:rFonts w:asciiTheme="minorHAnsi" w:hAnsiTheme="minorHAnsi"/>
                <w:bCs/>
                <w:sz w:val="24"/>
                <w:szCs w:val="24"/>
              </w:rPr>
            </w:pPr>
            <w:r w:rsidRPr="00696D28">
              <w:rPr>
                <w:rFonts w:asciiTheme="minorHAnsi" w:hAnsiTheme="minorHAnsi"/>
                <w:sz w:val="24"/>
                <w:szCs w:val="24"/>
              </w:rPr>
              <w:t>La finalità della presente legge è di classificare, per ciascuna fonte rinnovabile, il territorio lombardo nelle superfici e aree di cui al comma 1, in modo da accelerare il processo di realizzazione di impianti a fonti rinnovabili per rispondere agli obiettivi derivanti dall’attuazione del Piano Nazionale Integrato Energia Clima 2030.</w:t>
            </w:r>
          </w:p>
        </w:tc>
        <w:tc>
          <w:tcPr>
            <w:tcW w:w="2500" w:type="pct"/>
          </w:tcPr>
          <w:p w14:paraId="37AECBC5" w14:textId="77777777" w:rsidR="00696D28" w:rsidRPr="00696D28" w:rsidRDefault="00696D28" w:rsidP="00696D28">
            <w:pPr>
              <w:spacing w:after="200" w:line="276" w:lineRule="auto"/>
              <w:jc w:val="both"/>
              <w:rPr>
                <w:rFonts w:asciiTheme="minorHAnsi" w:hAnsiTheme="minorHAnsi"/>
                <w:sz w:val="24"/>
                <w:szCs w:val="24"/>
              </w:rPr>
            </w:pPr>
          </w:p>
        </w:tc>
      </w:tr>
      <w:tr w:rsidR="00696D28" w:rsidRPr="00696D28" w14:paraId="3D305757" w14:textId="47CC14F7" w:rsidTr="00696D28">
        <w:tc>
          <w:tcPr>
            <w:tcW w:w="2500" w:type="pct"/>
          </w:tcPr>
          <w:p w14:paraId="76913F25" w14:textId="77777777" w:rsidR="00696D28" w:rsidRPr="00696D28" w:rsidRDefault="00696D28" w:rsidP="00A317BF">
            <w:pPr>
              <w:jc w:val="both"/>
              <w:rPr>
                <w:rFonts w:asciiTheme="minorHAnsi" w:hAnsiTheme="minorHAnsi"/>
                <w:b/>
                <w:sz w:val="24"/>
                <w:szCs w:val="24"/>
              </w:rPr>
            </w:pPr>
            <w:r w:rsidRPr="00696D28">
              <w:rPr>
                <w:rFonts w:asciiTheme="minorHAnsi" w:hAnsiTheme="minorHAnsi"/>
                <w:b/>
                <w:sz w:val="24"/>
                <w:szCs w:val="24"/>
              </w:rPr>
              <w:lastRenderedPageBreak/>
              <w:t>Art. 2 Obiettivi minimi</w:t>
            </w:r>
          </w:p>
        </w:tc>
        <w:tc>
          <w:tcPr>
            <w:tcW w:w="2500" w:type="pct"/>
          </w:tcPr>
          <w:p w14:paraId="7B4D1DBF" w14:textId="77777777" w:rsidR="00696D28" w:rsidRPr="00696D28" w:rsidRDefault="00696D28" w:rsidP="00A317BF">
            <w:pPr>
              <w:jc w:val="both"/>
              <w:rPr>
                <w:rFonts w:asciiTheme="minorHAnsi" w:hAnsiTheme="minorHAnsi"/>
                <w:b/>
                <w:sz w:val="24"/>
                <w:szCs w:val="24"/>
              </w:rPr>
            </w:pPr>
          </w:p>
        </w:tc>
      </w:tr>
      <w:tr w:rsidR="00696D28" w:rsidRPr="00696D28" w14:paraId="711B996D" w14:textId="587B164E" w:rsidTr="00696D28">
        <w:tc>
          <w:tcPr>
            <w:tcW w:w="2500" w:type="pct"/>
          </w:tcPr>
          <w:p w14:paraId="029389D6" w14:textId="77777777" w:rsidR="00696D28" w:rsidRPr="00696D28" w:rsidRDefault="00696D28" w:rsidP="00A317BF">
            <w:pPr>
              <w:pStyle w:val="Paragrafoelenco"/>
              <w:numPr>
                <w:ilvl w:val="0"/>
                <w:numId w:val="4"/>
              </w:numPr>
              <w:spacing w:after="200" w:line="276" w:lineRule="auto"/>
              <w:ind w:left="315" w:hanging="284"/>
              <w:jc w:val="both"/>
              <w:rPr>
                <w:rFonts w:asciiTheme="minorHAnsi" w:hAnsiTheme="minorHAnsi"/>
                <w:sz w:val="24"/>
                <w:szCs w:val="24"/>
              </w:rPr>
            </w:pPr>
            <w:r w:rsidRPr="00696D28">
              <w:rPr>
                <w:rFonts w:asciiTheme="minorHAnsi" w:hAnsiTheme="minorHAnsi"/>
                <w:sz w:val="24"/>
                <w:szCs w:val="24"/>
              </w:rPr>
              <w:t xml:space="preserve">Gli obiettivi minimi di potenza nominale al 2030 per la Lombardia sono riferiti alla Tabella A del Decreto ministeriale 21 giugno 2024. </w:t>
            </w:r>
          </w:p>
        </w:tc>
        <w:tc>
          <w:tcPr>
            <w:tcW w:w="2500" w:type="pct"/>
          </w:tcPr>
          <w:p w14:paraId="05139A29" w14:textId="77777777" w:rsidR="00696D28" w:rsidRPr="00322CB0" w:rsidRDefault="00696D28" w:rsidP="00322CB0">
            <w:pPr>
              <w:spacing w:after="200" w:line="276" w:lineRule="auto"/>
              <w:ind w:left="31"/>
              <w:jc w:val="both"/>
              <w:rPr>
                <w:rFonts w:asciiTheme="minorHAnsi" w:hAnsiTheme="minorHAnsi"/>
                <w:sz w:val="24"/>
                <w:szCs w:val="24"/>
              </w:rPr>
            </w:pPr>
          </w:p>
        </w:tc>
      </w:tr>
      <w:tr w:rsidR="00696D28" w:rsidRPr="00696D28" w14:paraId="231D79A7" w14:textId="5C0DD8FB" w:rsidTr="00696D28">
        <w:tc>
          <w:tcPr>
            <w:tcW w:w="2500" w:type="pct"/>
          </w:tcPr>
          <w:p w14:paraId="4AD9DDC4" w14:textId="77777777" w:rsidR="00696D28" w:rsidRPr="00696D28" w:rsidRDefault="00696D28" w:rsidP="00A317BF">
            <w:pPr>
              <w:pStyle w:val="Paragrafoelenco"/>
              <w:numPr>
                <w:ilvl w:val="0"/>
                <w:numId w:val="4"/>
              </w:numPr>
              <w:spacing w:after="200" w:line="276" w:lineRule="auto"/>
              <w:ind w:left="313" w:hanging="284"/>
              <w:jc w:val="both"/>
              <w:rPr>
                <w:rFonts w:asciiTheme="minorHAnsi" w:hAnsiTheme="minorHAnsi"/>
                <w:sz w:val="24"/>
                <w:szCs w:val="24"/>
              </w:rPr>
            </w:pPr>
            <w:r w:rsidRPr="00696D28">
              <w:rPr>
                <w:rFonts w:asciiTheme="minorHAnsi" w:hAnsiTheme="minorHAnsi"/>
                <w:sz w:val="24"/>
                <w:szCs w:val="24"/>
              </w:rPr>
              <w:t>Gli obiettivi sono conseguiti sommando:</w:t>
            </w:r>
          </w:p>
        </w:tc>
        <w:tc>
          <w:tcPr>
            <w:tcW w:w="2500" w:type="pct"/>
          </w:tcPr>
          <w:p w14:paraId="1A49F6F8" w14:textId="77777777" w:rsidR="00696D28" w:rsidRPr="00322CB0" w:rsidRDefault="00696D28" w:rsidP="00322CB0">
            <w:pPr>
              <w:spacing w:after="200" w:line="276" w:lineRule="auto"/>
              <w:ind w:left="29"/>
              <w:jc w:val="both"/>
              <w:rPr>
                <w:rFonts w:asciiTheme="minorHAnsi" w:hAnsiTheme="minorHAnsi"/>
                <w:sz w:val="24"/>
                <w:szCs w:val="24"/>
              </w:rPr>
            </w:pPr>
          </w:p>
        </w:tc>
      </w:tr>
      <w:tr w:rsidR="00696D28" w:rsidRPr="00696D28" w14:paraId="2F6872C2" w14:textId="22943D25" w:rsidTr="00696D28">
        <w:tc>
          <w:tcPr>
            <w:tcW w:w="2500" w:type="pct"/>
          </w:tcPr>
          <w:p w14:paraId="3CD0C027" w14:textId="77777777" w:rsidR="00696D28" w:rsidRPr="00696D28" w:rsidRDefault="00696D28" w:rsidP="00A317BF">
            <w:pPr>
              <w:pStyle w:val="Paragrafoelenco"/>
              <w:numPr>
                <w:ilvl w:val="1"/>
                <w:numId w:val="1"/>
              </w:numPr>
              <w:spacing w:after="200" w:line="276" w:lineRule="auto"/>
              <w:ind w:left="740" w:hanging="380"/>
              <w:jc w:val="both"/>
              <w:rPr>
                <w:rFonts w:asciiTheme="minorHAnsi" w:hAnsiTheme="minorHAnsi"/>
                <w:bCs/>
                <w:sz w:val="24"/>
                <w:szCs w:val="24"/>
              </w:rPr>
            </w:pPr>
            <w:r w:rsidRPr="00696D28">
              <w:rPr>
                <w:rFonts w:asciiTheme="minorHAnsi" w:hAnsiTheme="minorHAnsi"/>
                <w:bCs/>
                <w:sz w:val="24"/>
                <w:szCs w:val="24"/>
              </w:rPr>
              <w:t>la potenza nominale degli impianti a fonti rinnovabili di nuova costruzione entrati in esercizio dal 1° gennaio 2021 al 31 dicembre di ciascun anno di riferimento sul territorio della Lombardia;</w:t>
            </w:r>
          </w:p>
        </w:tc>
        <w:tc>
          <w:tcPr>
            <w:tcW w:w="2500" w:type="pct"/>
          </w:tcPr>
          <w:p w14:paraId="2BFA7EFF" w14:textId="77777777" w:rsidR="00696D28" w:rsidRPr="00322CB0" w:rsidRDefault="00696D28" w:rsidP="00322CB0">
            <w:pPr>
              <w:spacing w:after="200" w:line="276" w:lineRule="auto"/>
              <w:jc w:val="both"/>
              <w:rPr>
                <w:rFonts w:asciiTheme="minorHAnsi" w:hAnsiTheme="minorHAnsi"/>
                <w:bCs/>
                <w:sz w:val="24"/>
                <w:szCs w:val="24"/>
              </w:rPr>
            </w:pPr>
          </w:p>
        </w:tc>
      </w:tr>
      <w:tr w:rsidR="00696D28" w:rsidRPr="00696D28" w14:paraId="133FAD5B" w14:textId="43E6CC36" w:rsidTr="00696D28">
        <w:tc>
          <w:tcPr>
            <w:tcW w:w="2500" w:type="pct"/>
          </w:tcPr>
          <w:p w14:paraId="5507471B" w14:textId="77777777" w:rsidR="00696D28" w:rsidRPr="00696D28" w:rsidRDefault="00696D28" w:rsidP="00A317BF">
            <w:pPr>
              <w:pStyle w:val="Paragrafoelenco"/>
              <w:numPr>
                <w:ilvl w:val="1"/>
                <w:numId w:val="1"/>
              </w:numPr>
              <w:spacing w:after="200" w:line="276" w:lineRule="auto"/>
              <w:ind w:left="740" w:hanging="380"/>
              <w:jc w:val="both"/>
              <w:rPr>
                <w:rFonts w:asciiTheme="minorHAnsi" w:hAnsiTheme="minorHAnsi"/>
                <w:bCs/>
                <w:sz w:val="24"/>
                <w:szCs w:val="24"/>
              </w:rPr>
            </w:pPr>
            <w:r w:rsidRPr="00696D28">
              <w:rPr>
                <w:rFonts w:asciiTheme="minorHAnsi" w:hAnsiTheme="minorHAnsi"/>
                <w:bCs/>
                <w:sz w:val="24"/>
                <w:szCs w:val="24"/>
              </w:rPr>
              <w:t>la potenza nominale aggiuntiva derivante da interventi di rifacimento, integrale ricostruzione, riattivazione, potenziamento entrati in esercizio dal 1° gennaio 2021 al 31 dicembre di ciascun anno di riferimento sul territorio della Lombardia.</w:t>
            </w:r>
          </w:p>
        </w:tc>
        <w:tc>
          <w:tcPr>
            <w:tcW w:w="2500" w:type="pct"/>
          </w:tcPr>
          <w:p w14:paraId="083509B7" w14:textId="77777777" w:rsidR="00696D28" w:rsidRPr="00322CB0" w:rsidRDefault="00696D28" w:rsidP="00322CB0">
            <w:pPr>
              <w:spacing w:after="200" w:line="276" w:lineRule="auto"/>
              <w:jc w:val="both"/>
              <w:rPr>
                <w:rFonts w:asciiTheme="minorHAnsi" w:hAnsiTheme="minorHAnsi"/>
                <w:bCs/>
                <w:sz w:val="24"/>
                <w:szCs w:val="24"/>
              </w:rPr>
            </w:pPr>
          </w:p>
        </w:tc>
      </w:tr>
      <w:tr w:rsidR="00696D28" w:rsidRPr="00696D28" w14:paraId="0E009A06" w14:textId="75C259A4" w:rsidTr="00696D28">
        <w:tc>
          <w:tcPr>
            <w:tcW w:w="2500" w:type="pct"/>
          </w:tcPr>
          <w:p w14:paraId="0CEA27AC" w14:textId="77777777" w:rsidR="00696D28" w:rsidRPr="00696D28" w:rsidRDefault="00696D28" w:rsidP="00A317BF">
            <w:pPr>
              <w:jc w:val="both"/>
              <w:rPr>
                <w:rFonts w:asciiTheme="minorHAnsi" w:hAnsiTheme="minorHAnsi"/>
                <w:b/>
                <w:sz w:val="24"/>
                <w:szCs w:val="24"/>
              </w:rPr>
            </w:pPr>
            <w:r w:rsidRPr="00696D28">
              <w:rPr>
                <w:rFonts w:asciiTheme="minorHAnsi" w:hAnsiTheme="minorHAnsi"/>
                <w:b/>
                <w:sz w:val="24"/>
                <w:szCs w:val="24"/>
              </w:rPr>
              <w:t>Art. 3 Accordi con altre regioni</w:t>
            </w:r>
          </w:p>
        </w:tc>
        <w:tc>
          <w:tcPr>
            <w:tcW w:w="2500" w:type="pct"/>
          </w:tcPr>
          <w:p w14:paraId="3BF5D034" w14:textId="77777777" w:rsidR="00696D28" w:rsidRPr="00696D28" w:rsidRDefault="00696D28" w:rsidP="00A317BF">
            <w:pPr>
              <w:jc w:val="both"/>
              <w:rPr>
                <w:rFonts w:asciiTheme="minorHAnsi" w:hAnsiTheme="minorHAnsi"/>
                <w:b/>
                <w:sz w:val="24"/>
                <w:szCs w:val="24"/>
              </w:rPr>
            </w:pPr>
          </w:p>
        </w:tc>
      </w:tr>
      <w:tr w:rsidR="00696D28" w:rsidRPr="00696D28" w14:paraId="4B814BFC" w14:textId="60413CD2" w:rsidTr="00696D28">
        <w:tc>
          <w:tcPr>
            <w:tcW w:w="2500" w:type="pct"/>
          </w:tcPr>
          <w:p w14:paraId="482195EC" w14:textId="77777777" w:rsidR="00696D28" w:rsidRPr="00696D28" w:rsidRDefault="00696D28" w:rsidP="00A317BF">
            <w:pPr>
              <w:pStyle w:val="Paragrafoelenco"/>
              <w:numPr>
                <w:ilvl w:val="0"/>
                <w:numId w:val="5"/>
              </w:numPr>
              <w:spacing w:after="200" w:line="276" w:lineRule="auto"/>
              <w:ind w:left="315" w:hanging="284"/>
              <w:jc w:val="both"/>
              <w:rPr>
                <w:rFonts w:asciiTheme="minorHAnsi" w:hAnsiTheme="minorHAnsi"/>
                <w:bCs/>
                <w:sz w:val="24"/>
                <w:szCs w:val="24"/>
              </w:rPr>
            </w:pPr>
            <w:r w:rsidRPr="00696D28">
              <w:rPr>
                <w:rFonts w:asciiTheme="minorHAnsi" w:hAnsiTheme="minorHAnsi"/>
                <w:bCs/>
                <w:sz w:val="24"/>
                <w:szCs w:val="24"/>
              </w:rPr>
              <w:t xml:space="preserve">Per conseguire gli obiettivi minimi di potenza installata al 2030 Regione Lombardia può stabilire accordi con regioni confinanti per definire una quota di potenza da realizzare mediante impianti off </w:t>
            </w:r>
            <w:proofErr w:type="spellStart"/>
            <w:r w:rsidRPr="00696D28">
              <w:rPr>
                <w:rFonts w:asciiTheme="minorHAnsi" w:hAnsiTheme="minorHAnsi"/>
                <w:bCs/>
                <w:sz w:val="24"/>
                <w:szCs w:val="24"/>
              </w:rPr>
              <w:t>shore</w:t>
            </w:r>
            <w:proofErr w:type="spellEnd"/>
            <w:r w:rsidRPr="00696D28">
              <w:rPr>
                <w:rFonts w:asciiTheme="minorHAnsi" w:hAnsiTheme="minorHAnsi"/>
                <w:bCs/>
                <w:sz w:val="24"/>
                <w:szCs w:val="24"/>
              </w:rPr>
              <w:t>.</w:t>
            </w:r>
          </w:p>
        </w:tc>
        <w:tc>
          <w:tcPr>
            <w:tcW w:w="2500" w:type="pct"/>
          </w:tcPr>
          <w:p w14:paraId="41C72DA3" w14:textId="77777777" w:rsidR="00696D28" w:rsidRPr="00322CB0" w:rsidRDefault="00696D28" w:rsidP="00322CB0">
            <w:pPr>
              <w:spacing w:after="200" w:line="276" w:lineRule="auto"/>
              <w:ind w:left="31"/>
              <w:jc w:val="both"/>
              <w:rPr>
                <w:rFonts w:asciiTheme="minorHAnsi" w:hAnsiTheme="minorHAnsi"/>
                <w:bCs/>
                <w:sz w:val="24"/>
                <w:szCs w:val="24"/>
              </w:rPr>
            </w:pPr>
          </w:p>
        </w:tc>
      </w:tr>
      <w:tr w:rsidR="00696D28" w:rsidRPr="00696D28" w14:paraId="333F21A9" w14:textId="112EAEE5" w:rsidTr="00696D28">
        <w:tc>
          <w:tcPr>
            <w:tcW w:w="2500" w:type="pct"/>
          </w:tcPr>
          <w:p w14:paraId="3A4CE6CD" w14:textId="77777777" w:rsidR="00696D28" w:rsidRPr="00696D28" w:rsidRDefault="00696D28" w:rsidP="00A317BF">
            <w:pPr>
              <w:pStyle w:val="Paragrafoelenco"/>
              <w:numPr>
                <w:ilvl w:val="0"/>
                <w:numId w:val="5"/>
              </w:numPr>
              <w:spacing w:after="200" w:line="276" w:lineRule="auto"/>
              <w:ind w:left="315" w:hanging="284"/>
              <w:jc w:val="both"/>
              <w:rPr>
                <w:rFonts w:asciiTheme="minorHAnsi" w:hAnsiTheme="minorHAnsi"/>
                <w:bCs/>
                <w:sz w:val="24"/>
                <w:szCs w:val="24"/>
              </w:rPr>
            </w:pPr>
            <w:r w:rsidRPr="00696D28">
              <w:rPr>
                <w:rFonts w:asciiTheme="minorHAnsi" w:hAnsiTheme="minorHAnsi"/>
                <w:bCs/>
                <w:sz w:val="24"/>
                <w:szCs w:val="24"/>
              </w:rPr>
              <w:t xml:space="preserve">In caso di definizione di accordi di cui al comma precedente, il conseguimento dell’obiettivo, oltre a quanto indicato nell’art. 2, comma 2, tiene conto del valore percentuale definito dall’art. 2, comma 4, del DM 21 giugno 2024 per la potenza nominale degli impianti off </w:t>
            </w:r>
            <w:proofErr w:type="spellStart"/>
            <w:r w:rsidRPr="00696D28">
              <w:rPr>
                <w:rFonts w:asciiTheme="minorHAnsi" w:hAnsiTheme="minorHAnsi"/>
                <w:bCs/>
                <w:sz w:val="24"/>
                <w:szCs w:val="24"/>
              </w:rPr>
              <w:t>shore</w:t>
            </w:r>
            <w:proofErr w:type="spellEnd"/>
            <w:r w:rsidRPr="00696D28">
              <w:rPr>
                <w:rFonts w:asciiTheme="minorHAnsi" w:hAnsiTheme="minorHAnsi"/>
                <w:bCs/>
                <w:sz w:val="24"/>
                <w:szCs w:val="24"/>
              </w:rPr>
              <w:t xml:space="preserve"> di nuova costruzione entrati in esercizio dal 1 gennaio 2021 al 31 dicembre dell’anno di riferimento da </w:t>
            </w:r>
            <w:r w:rsidRPr="00696D28">
              <w:rPr>
                <w:rFonts w:asciiTheme="minorHAnsi" w:hAnsiTheme="minorHAnsi"/>
                <w:bCs/>
                <w:sz w:val="24"/>
                <w:szCs w:val="24"/>
              </w:rPr>
              <w:lastRenderedPageBreak/>
              <w:t>realizzarsi in regioni con costa marittima le cui opere di connessione alla rete elettrica sono realizzate sul territorio della regione con la quale sono stipulati gli accordi.</w:t>
            </w:r>
          </w:p>
        </w:tc>
        <w:tc>
          <w:tcPr>
            <w:tcW w:w="2500" w:type="pct"/>
          </w:tcPr>
          <w:p w14:paraId="46F83127" w14:textId="77777777" w:rsidR="00696D28" w:rsidRPr="00322CB0" w:rsidRDefault="00696D28" w:rsidP="00322CB0">
            <w:pPr>
              <w:spacing w:after="200" w:line="276" w:lineRule="auto"/>
              <w:ind w:left="31"/>
              <w:jc w:val="both"/>
              <w:rPr>
                <w:rFonts w:asciiTheme="minorHAnsi" w:hAnsiTheme="minorHAnsi"/>
                <w:bCs/>
                <w:sz w:val="24"/>
                <w:szCs w:val="24"/>
              </w:rPr>
            </w:pPr>
          </w:p>
        </w:tc>
      </w:tr>
      <w:tr w:rsidR="00696D28" w:rsidRPr="00696D28" w14:paraId="19E36DB9" w14:textId="3A827438" w:rsidTr="00696D28">
        <w:tc>
          <w:tcPr>
            <w:tcW w:w="2500" w:type="pct"/>
          </w:tcPr>
          <w:p w14:paraId="17FB2C69" w14:textId="77777777" w:rsidR="00696D28" w:rsidRPr="00696D28" w:rsidRDefault="00696D28" w:rsidP="00A317BF">
            <w:pPr>
              <w:jc w:val="both"/>
              <w:rPr>
                <w:rFonts w:asciiTheme="minorHAnsi" w:hAnsiTheme="minorHAnsi"/>
                <w:b/>
                <w:sz w:val="24"/>
                <w:szCs w:val="24"/>
              </w:rPr>
            </w:pPr>
            <w:r w:rsidRPr="00696D28">
              <w:rPr>
                <w:rFonts w:asciiTheme="minorHAnsi" w:hAnsiTheme="minorHAnsi"/>
                <w:b/>
                <w:sz w:val="24"/>
                <w:szCs w:val="24"/>
              </w:rPr>
              <w:t>Art. 4 Modalità di conseguimento degli obiettivi</w:t>
            </w:r>
          </w:p>
        </w:tc>
        <w:tc>
          <w:tcPr>
            <w:tcW w:w="2500" w:type="pct"/>
          </w:tcPr>
          <w:p w14:paraId="39B15406" w14:textId="77777777" w:rsidR="00696D28" w:rsidRPr="00696D28" w:rsidRDefault="00696D28" w:rsidP="00A317BF">
            <w:pPr>
              <w:jc w:val="both"/>
              <w:rPr>
                <w:rFonts w:asciiTheme="minorHAnsi" w:hAnsiTheme="minorHAnsi"/>
                <w:b/>
                <w:sz w:val="24"/>
                <w:szCs w:val="24"/>
              </w:rPr>
            </w:pPr>
          </w:p>
        </w:tc>
      </w:tr>
      <w:tr w:rsidR="00696D28" w:rsidRPr="00696D28" w14:paraId="062D04A8" w14:textId="62F12F30" w:rsidTr="00696D28">
        <w:tc>
          <w:tcPr>
            <w:tcW w:w="2500" w:type="pct"/>
          </w:tcPr>
          <w:p w14:paraId="44F500D0" w14:textId="77777777" w:rsidR="00696D28" w:rsidRPr="00696D28" w:rsidRDefault="00696D28" w:rsidP="00A317BF">
            <w:pPr>
              <w:pStyle w:val="Paragrafoelenco"/>
              <w:numPr>
                <w:ilvl w:val="0"/>
                <w:numId w:val="6"/>
              </w:numPr>
              <w:spacing w:after="200" w:line="276" w:lineRule="auto"/>
              <w:ind w:left="315" w:hanging="284"/>
              <w:jc w:val="both"/>
              <w:rPr>
                <w:rFonts w:asciiTheme="minorHAnsi" w:hAnsiTheme="minorHAnsi"/>
                <w:sz w:val="24"/>
                <w:szCs w:val="24"/>
              </w:rPr>
            </w:pPr>
            <w:r w:rsidRPr="00696D28">
              <w:rPr>
                <w:rFonts w:asciiTheme="minorHAnsi" w:hAnsiTheme="minorHAnsi"/>
                <w:sz w:val="24"/>
                <w:szCs w:val="24"/>
              </w:rPr>
              <w:t>Con la presente legge Regione Lombardia classifica il proprio territorio ai fini del raggiungimento degli obiettivi minimi di cui all’art. 2 comma 1 del Decreto ministeriale 21 giugno 2024 applicando i princìpi di minimizzazione degli impatti su ambiente, territorio, patrimonio culturale, paesaggio, delle aree agricole e forestali, secondo i criteri di cui all’articolo 5.</w:t>
            </w:r>
          </w:p>
        </w:tc>
        <w:tc>
          <w:tcPr>
            <w:tcW w:w="2500" w:type="pct"/>
          </w:tcPr>
          <w:p w14:paraId="59AC2971" w14:textId="77777777" w:rsidR="00696D28" w:rsidRPr="00322CB0" w:rsidRDefault="00696D28" w:rsidP="00322CB0">
            <w:pPr>
              <w:spacing w:after="200" w:line="276" w:lineRule="auto"/>
              <w:ind w:left="31"/>
              <w:jc w:val="both"/>
              <w:rPr>
                <w:rFonts w:asciiTheme="minorHAnsi" w:hAnsiTheme="minorHAnsi"/>
                <w:sz w:val="24"/>
                <w:szCs w:val="24"/>
              </w:rPr>
            </w:pPr>
          </w:p>
        </w:tc>
      </w:tr>
      <w:tr w:rsidR="00696D28" w:rsidRPr="00696D28" w14:paraId="2843B2D7" w14:textId="3CBEA832" w:rsidTr="00696D28">
        <w:tc>
          <w:tcPr>
            <w:tcW w:w="2500" w:type="pct"/>
          </w:tcPr>
          <w:p w14:paraId="08185363" w14:textId="77777777" w:rsidR="00696D28" w:rsidRPr="00696D28" w:rsidRDefault="00696D28" w:rsidP="00A317BF">
            <w:pPr>
              <w:pStyle w:val="Paragrafoelenco"/>
              <w:numPr>
                <w:ilvl w:val="0"/>
                <w:numId w:val="6"/>
              </w:numPr>
              <w:spacing w:after="200" w:line="276" w:lineRule="auto"/>
              <w:ind w:left="315" w:hanging="284"/>
              <w:jc w:val="both"/>
              <w:rPr>
                <w:rFonts w:asciiTheme="minorHAnsi" w:hAnsiTheme="minorHAnsi"/>
                <w:b/>
                <w:sz w:val="24"/>
                <w:szCs w:val="24"/>
              </w:rPr>
            </w:pPr>
            <w:r w:rsidRPr="00696D28">
              <w:rPr>
                <w:rFonts w:asciiTheme="minorHAnsi" w:hAnsiTheme="minorHAnsi"/>
                <w:sz w:val="24"/>
                <w:szCs w:val="24"/>
              </w:rPr>
              <w:t>La classificazione del territorio regionale nelle classi di cui al comma 1 crea le condizioni necessarie al conseguimento degli obiettivi minimi.</w:t>
            </w:r>
          </w:p>
        </w:tc>
        <w:tc>
          <w:tcPr>
            <w:tcW w:w="2500" w:type="pct"/>
          </w:tcPr>
          <w:p w14:paraId="79475F53" w14:textId="77777777" w:rsidR="00696D28" w:rsidRPr="00696D28" w:rsidRDefault="00696D28" w:rsidP="00322CB0">
            <w:pPr>
              <w:pStyle w:val="Paragrafoelenco"/>
              <w:spacing w:after="200" w:line="276" w:lineRule="auto"/>
              <w:ind w:left="315"/>
              <w:jc w:val="both"/>
              <w:rPr>
                <w:rFonts w:asciiTheme="minorHAnsi" w:hAnsiTheme="minorHAnsi"/>
                <w:sz w:val="24"/>
                <w:szCs w:val="24"/>
              </w:rPr>
            </w:pPr>
          </w:p>
        </w:tc>
      </w:tr>
      <w:tr w:rsidR="00696D28" w:rsidRPr="00696D28" w14:paraId="0E59BF1A" w14:textId="4220F933" w:rsidTr="00696D28">
        <w:tc>
          <w:tcPr>
            <w:tcW w:w="2500" w:type="pct"/>
          </w:tcPr>
          <w:p w14:paraId="4830AC96" w14:textId="77777777" w:rsidR="00696D28" w:rsidRPr="00696D28" w:rsidRDefault="00696D28" w:rsidP="00A317BF">
            <w:pPr>
              <w:pStyle w:val="Paragrafoelenco"/>
              <w:numPr>
                <w:ilvl w:val="0"/>
                <w:numId w:val="6"/>
              </w:numPr>
              <w:spacing w:after="200" w:line="276" w:lineRule="auto"/>
              <w:ind w:left="315" w:hanging="284"/>
              <w:jc w:val="both"/>
              <w:rPr>
                <w:rFonts w:asciiTheme="minorHAnsi" w:hAnsiTheme="minorHAnsi"/>
                <w:sz w:val="24"/>
                <w:szCs w:val="24"/>
              </w:rPr>
            </w:pPr>
            <w:r w:rsidRPr="00696D28">
              <w:rPr>
                <w:rFonts w:asciiTheme="minorHAnsi" w:hAnsiTheme="minorHAnsi"/>
                <w:sz w:val="24"/>
                <w:szCs w:val="24"/>
              </w:rPr>
              <w:t>Le superfici e aree di cui all’art. 1 comma 1 sono individuate dalla Giunta, ai sensi dell’art.13 comma 2, mediante servizi di mappa digitali ai quali è associata una relazione indicante le estensioni di ciascuna categoria di area in termini di superficie ed eventuali altri parametri utili alla definizione del potenziale installativo per fonte rinnovabile. Con il medesimo provvedimento la Giunta definisce le modalità di aggiornamento periodico dei servizi di mappa digitali.</w:t>
            </w:r>
          </w:p>
        </w:tc>
        <w:tc>
          <w:tcPr>
            <w:tcW w:w="2500" w:type="pct"/>
          </w:tcPr>
          <w:p w14:paraId="0604F1B9" w14:textId="77777777" w:rsidR="00696D28" w:rsidRPr="00696D28" w:rsidRDefault="00696D28" w:rsidP="00322CB0">
            <w:pPr>
              <w:pStyle w:val="Paragrafoelenco"/>
              <w:spacing w:after="200" w:line="276" w:lineRule="auto"/>
              <w:ind w:left="315"/>
              <w:jc w:val="both"/>
              <w:rPr>
                <w:rFonts w:asciiTheme="minorHAnsi" w:hAnsiTheme="minorHAnsi"/>
                <w:sz w:val="24"/>
                <w:szCs w:val="24"/>
              </w:rPr>
            </w:pPr>
          </w:p>
        </w:tc>
      </w:tr>
      <w:tr w:rsidR="00696D28" w:rsidRPr="00696D28" w14:paraId="6E4FBDC2" w14:textId="06B9F1AB" w:rsidTr="00696D28">
        <w:tc>
          <w:tcPr>
            <w:tcW w:w="2500" w:type="pct"/>
          </w:tcPr>
          <w:p w14:paraId="2404FC4C" w14:textId="77777777" w:rsidR="00696D28" w:rsidRPr="00696D28" w:rsidRDefault="00696D28" w:rsidP="00A317BF">
            <w:pPr>
              <w:jc w:val="both"/>
              <w:rPr>
                <w:rFonts w:asciiTheme="minorHAnsi" w:hAnsiTheme="minorHAnsi"/>
                <w:b/>
                <w:sz w:val="24"/>
                <w:szCs w:val="24"/>
              </w:rPr>
            </w:pPr>
            <w:r w:rsidRPr="00696D28">
              <w:rPr>
                <w:rFonts w:asciiTheme="minorHAnsi" w:hAnsiTheme="minorHAnsi"/>
                <w:b/>
                <w:sz w:val="24"/>
                <w:szCs w:val="24"/>
              </w:rPr>
              <w:t>Art. 5 Compresenza di superfici appartenenti a più classi</w:t>
            </w:r>
          </w:p>
        </w:tc>
        <w:tc>
          <w:tcPr>
            <w:tcW w:w="2500" w:type="pct"/>
          </w:tcPr>
          <w:p w14:paraId="2678EE16" w14:textId="77777777" w:rsidR="00696D28" w:rsidRPr="00696D28" w:rsidRDefault="00696D28" w:rsidP="00A317BF">
            <w:pPr>
              <w:jc w:val="both"/>
              <w:rPr>
                <w:rFonts w:asciiTheme="minorHAnsi" w:hAnsiTheme="minorHAnsi"/>
                <w:b/>
                <w:sz w:val="24"/>
                <w:szCs w:val="24"/>
              </w:rPr>
            </w:pPr>
          </w:p>
        </w:tc>
      </w:tr>
      <w:tr w:rsidR="00696D28" w:rsidRPr="00696D28" w14:paraId="33181860" w14:textId="085287FB" w:rsidTr="00696D28">
        <w:tc>
          <w:tcPr>
            <w:tcW w:w="2500" w:type="pct"/>
          </w:tcPr>
          <w:p w14:paraId="042FA6A1" w14:textId="77777777" w:rsidR="00696D28" w:rsidRPr="00696D28" w:rsidRDefault="00696D28" w:rsidP="00A317BF">
            <w:pPr>
              <w:pStyle w:val="Paragrafoelenco"/>
              <w:numPr>
                <w:ilvl w:val="0"/>
                <w:numId w:val="24"/>
              </w:numPr>
              <w:spacing w:after="200" w:line="276" w:lineRule="auto"/>
              <w:ind w:left="340" w:hanging="283"/>
              <w:jc w:val="both"/>
              <w:rPr>
                <w:rFonts w:asciiTheme="minorHAnsi" w:hAnsiTheme="minorHAnsi"/>
                <w:strike/>
                <w:sz w:val="24"/>
                <w:szCs w:val="24"/>
              </w:rPr>
            </w:pPr>
            <w:r w:rsidRPr="00696D28">
              <w:rPr>
                <w:rFonts w:asciiTheme="minorHAnsi" w:hAnsiTheme="minorHAnsi"/>
                <w:sz w:val="24"/>
                <w:szCs w:val="24"/>
              </w:rPr>
              <w:t>Qualora una superficie e area appartenga sia alla classe delle aree idonee che alla classe delle aree non idonee, prevale l’appartenenza alla categoria delle aree non idonee.</w:t>
            </w:r>
          </w:p>
        </w:tc>
        <w:tc>
          <w:tcPr>
            <w:tcW w:w="2500" w:type="pct"/>
          </w:tcPr>
          <w:p w14:paraId="61374E52" w14:textId="77777777" w:rsidR="00696D28" w:rsidRPr="00696D28" w:rsidRDefault="00696D28" w:rsidP="00322CB0">
            <w:pPr>
              <w:pStyle w:val="Paragrafoelenco"/>
              <w:spacing w:after="200" w:line="276" w:lineRule="auto"/>
              <w:ind w:left="340"/>
              <w:jc w:val="both"/>
              <w:rPr>
                <w:rFonts w:asciiTheme="minorHAnsi" w:hAnsiTheme="minorHAnsi"/>
                <w:sz w:val="24"/>
                <w:szCs w:val="24"/>
              </w:rPr>
            </w:pPr>
          </w:p>
        </w:tc>
      </w:tr>
      <w:tr w:rsidR="00696D28" w:rsidRPr="00696D28" w14:paraId="4BEEA0CD" w14:textId="21C48B17" w:rsidTr="00696D28">
        <w:tc>
          <w:tcPr>
            <w:tcW w:w="2500" w:type="pct"/>
          </w:tcPr>
          <w:p w14:paraId="3E6BE2F5" w14:textId="77777777" w:rsidR="00696D28" w:rsidRPr="00696D28" w:rsidRDefault="00696D28" w:rsidP="00A317BF">
            <w:pPr>
              <w:jc w:val="both"/>
              <w:rPr>
                <w:rFonts w:asciiTheme="minorHAnsi" w:hAnsiTheme="minorHAnsi"/>
                <w:b/>
                <w:sz w:val="24"/>
                <w:szCs w:val="24"/>
              </w:rPr>
            </w:pPr>
            <w:r w:rsidRPr="00696D28">
              <w:rPr>
                <w:rFonts w:asciiTheme="minorHAnsi" w:hAnsiTheme="minorHAnsi"/>
                <w:b/>
                <w:sz w:val="24"/>
                <w:szCs w:val="24"/>
              </w:rPr>
              <w:t>Art. 6 Criteri per l’individuazione delle superfici e aree idonee</w:t>
            </w:r>
          </w:p>
        </w:tc>
        <w:tc>
          <w:tcPr>
            <w:tcW w:w="2500" w:type="pct"/>
          </w:tcPr>
          <w:p w14:paraId="0C18A908" w14:textId="77777777" w:rsidR="00696D28" w:rsidRPr="00696D28" w:rsidRDefault="00696D28" w:rsidP="00A317BF">
            <w:pPr>
              <w:jc w:val="both"/>
              <w:rPr>
                <w:rFonts w:asciiTheme="minorHAnsi" w:hAnsiTheme="minorHAnsi"/>
                <w:b/>
                <w:sz w:val="24"/>
                <w:szCs w:val="24"/>
              </w:rPr>
            </w:pPr>
          </w:p>
        </w:tc>
      </w:tr>
      <w:tr w:rsidR="00696D28" w:rsidRPr="00696D28" w14:paraId="1EA6BB1F" w14:textId="291949CF" w:rsidTr="00696D28">
        <w:tc>
          <w:tcPr>
            <w:tcW w:w="2500" w:type="pct"/>
          </w:tcPr>
          <w:p w14:paraId="1C9BC379" w14:textId="77777777" w:rsidR="00696D28" w:rsidRPr="00696D28" w:rsidRDefault="00696D28" w:rsidP="00A317BF">
            <w:pPr>
              <w:pStyle w:val="Paragrafoelenco"/>
              <w:numPr>
                <w:ilvl w:val="0"/>
                <w:numId w:val="9"/>
              </w:numPr>
              <w:spacing w:after="200" w:line="276" w:lineRule="auto"/>
              <w:ind w:left="462" w:hanging="462"/>
              <w:jc w:val="both"/>
              <w:rPr>
                <w:rFonts w:asciiTheme="minorHAnsi" w:hAnsiTheme="minorHAnsi"/>
                <w:sz w:val="24"/>
                <w:szCs w:val="24"/>
              </w:rPr>
            </w:pPr>
            <w:r w:rsidRPr="00696D28">
              <w:rPr>
                <w:rFonts w:asciiTheme="minorHAnsi" w:hAnsiTheme="minorHAnsi"/>
                <w:sz w:val="24"/>
                <w:szCs w:val="24"/>
              </w:rPr>
              <w:lastRenderedPageBreak/>
              <w:t>Le superfici e le aree idonee sono definite secondo i seguenti criteri:</w:t>
            </w:r>
          </w:p>
        </w:tc>
        <w:tc>
          <w:tcPr>
            <w:tcW w:w="2500" w:type="pct"/>
          </w:tcPr>
          <w:p w14:paraId="4A3162FD" w14:textId="77777777" w:rsidR="00696D28" w:rsidRPr="00696D28" w:rsidRDefault="00696D28" w:rsidP="00322CB0">
            <w:pPr>
              <w:pStyle w:val="Paragrafoelenco"/>
              <w:spacing w:after="200" w:line="276" w:lineRule="auto"/>
              <w:ind w:left="462"/>
              <w:jc w:val="both"/>
              <w:rPr>
                <w:rFonts w:asciiTheme="minorHAnsi" w:hAnsiTheme="minorHAnsi"/>
                <w:sz w:val="24"/>
                <w:szCs w:val="24"/>
              </w:rPr>
            </w:pPr>
          </w:p>
        </w:tc>
      </w:tr>
      <w:tr w:rsidR="00696D28" w:rsidRPr="00696D28" w14:paraId="33B9F599" w14:textId="63AF671D" w:rsidTr="00696D28">
        <w:tc>
          <w:tcPr>
            <w:tcW w:w="2500" w:type="pct"/>
          </w:tcPr>
          <w:p w14:paraId="7D6556A5" w14:textId="77777777" w:rsidR="00696D28" w:rsidRPr="00696D28" w:rsidRDefault="00696D28" w:rsidP="00A317BF">
            <w:pPr>
              <w:pStyle w:val="Paragrafoelenco"/>
              <w:numPr>
                <w:ilvl w:val="0"/>
                <w:numId w:val="10"/>
              </w:numPr>
              <w:spacing w:after="200" w:line="276" w:lineRule="auto"/>
              <w:ind w:left="739" w:hanging="283"/>
              <w:jc w:val="both"/>
              <w:rPr>
                <w:rFonts w:asciiTheme="minorHAnsi" w:hAnsiTheme="minorHAnsi"/>
                <w:sz w:val="24"/>
                <w:szCs w:val="24"/>
              </w:rPr>
            </w:pPr>
            <w:r w:rsidRPr="00696D28">
              <w:rPr>
                <w:rFonts w:asciiTheme="minorHAnsi" w:hAnsiTheme="minorHAnsi"/>
                <w:sz w:val="24"/>
                <w:szCs w:val="24"/>
              </w:rPr>
              <w:t>diversificazione del territorio sulla base della fonte rinnovabile considerata, della tipologia di impianto, della taglia di impianto tenuto conto:</w:t>
            </w:r>
          </w:p>
        </w:tc>
        <w:tc>
          <w:tcPr>
            <w:tcW w:w="2500" w:type="pct"/>
          </w:tcPr>
          <w:p w14:paraId="5B13B041"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764F8282" w14:textId="1D5D9CF6" w:rsidTr="00696D28">
        <w:tc>
          <w:tcPr>
            <w:tcW w:w="2500" w:type="pct"/>
          </w:tcPr>
          <w:p w14:paraId="000FB997" w14:textId="77777777" w:rsidR="00696D28" w:rsidRPr="00696D28" w:rsidRDefault="00696D28" w:rsidP="00A317BF">
            <w:pPr>
              <w:pStyle w:val="Paragrafoelenco"/>
              <w:numPr>
                <w:ilvl w:val="0"/>
                <w:numId w:val="11"/>
              </w:numPr>
              <w:spacing w:after="200" w:line="276" w:lineRule="auto"/>
              <w:ind w:left="881" w:hanging="142"/>
              <w:jc w:val="both"/>
              <w:rPr>
                <w:rFonts w:asciiTheme="minorHAnsi" w:hAnsiTheme="minorHAnsi"/>
                <w:sz w:val="24"/>
                <w:szCs w:val="24"/>
              </w:rPr>
            </w:pPr>
            <w:r w:rsidRPr="00696D28">
              <w:rPr>
                <w:rFonts w:asciiTheme="minorHAnsi" w:hAnsiTheme="minorHAnsi"/>
                <w:sz w:val="24"/>
                <w:szCs w:val="24"/>
              </w:rPr>
              <w:t>della conformità alle disposizioni contenute nella normativa nazionale;</w:t>
            </w:r>
          </w:p>
        </w:tc>
        <w:tc>
          <w:tcPr>
            <w:tcW w:w="2500" w:type="pct"/>
          </w:tcPr>
          <w:p w14:paraId="2B5B39B3"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5F0E8B46" w14:textId="65C14192" w:rsidTr="00696D28">
        <w:tc>
          <w:tcPr>
            <w:tcW w:w="2500" w:type="pct"/>
          </w:tcPr>
          <w:p w14:paraId="634EBF52" w14:textId="77777777" w:rsidR="00696D28" w:rsidRPr="00696D28" w:rsidRDefault="00696D28" w:rsidP="00A317BF">
            <w:pPr>
              <w:pStyle w:val="Paragrafoelenco"/>
              <w:numPr>
                <w:ilvl w:val="0"/>
                <w:numId w:val="11"/>
              </w:numPr>
              <w:spacing w:line="276" w:lineRule="auto"/>
              <w:ind w:left="880" w:hanging="142"/>
              <w:jc w:val="both"/>
              <w:rPr>
                <w:rFonts w:asciiTheme="minorHAnsi" w:hAnsiTheme="minorHAnsi"/>
                <w:sz w:val="24"/>
                <w:szCs w:val="24"/>
              </w:rPr>
            </w:pPr>
            <w:r w:rsidRPr="00696D28">
              <w:rPr>
                <w:rFonts w:asciiTheme="minorHAnsi" w:hAnsiTheme="minorHAnsi"/>
                <w:sz w:val="24"/>
                <w:szCs w:val="24"/>
              </w:rPr>
              <w:t>della maggiore efficienza della produzione di energia in rapporto alla effettiva realizzabilità degli impianti, secondo il seguente ordine di priorità:</w:t>
            </w:r>
          </w:p>
        </w:tc>
        <w:tc>
          <w:tcPr>
            <w:tcW w:w="2500" w:type="pct"/>
          </w:tcPr>
          <w:p w14:paraId="41FD6B0F" w14:textId="77777777" w:rsidR="00696D28" w:rsidRPr="00322CB0" w:rsidRDefault="00696D28" w:rsidP="00322CB0">
            <w:pPr>
              <w:spacing w:line="276" w:lineRule="auto"/>
              <w:jc w:val="both"/>
              <w:rPr>
                <w:rFonts w:asciiTheme="minorHAnsi" w:hAnsiTheme="minorHAnsi"/>
                <w:sz w:val="24"/>
                <w:szCs w:val="24"/>
              </w:rPr>
            </w:pPr>
          </w:p>
        </w:tc>
      </w:tr>
      <w:tr w:rsidR="00696D28" w:rsidRPr="00696D28" w14:paraId="7DCDC380" w14:textId="3201034E" w:rsidTr="00696D28">
        <w:tc>
          <w:tcPr>
            <w:tcW w:w="2500" w:type="pct"/>
          </w:tcPr>
          <w:p w14:paraId="4C01D824" w14:textId="77777777" w:rsidR="00696D28" w:rsidRPr="00696D28" w:rsidRDefault="00696D28" w:rsidP="00A317BF">
            <w:pPr>
              <w:pStyle w:val="Paragrafoelenco"/>
              <w:numPr>
                <w:ilvl w:val="0"/>
                <w:numId w:val="8"/>
              </w:numPr>
              <w:spacing w:line="276" w:lineRule="auto"/>
              <w:ind w:left="1163" w:hanging="142"/>
              <w:jc w:val="both"/>
              <w:rPr>
                <w:rFonts w:asciiTheme="minorHAnsi" w:hAnsiTheme="minorHAnsi"/>
                <w:sz w:val="24"/>
                <w:szCs w:val="24"/>
              </w:rPr>
            </w:pPr>
            <w:r w:rsidRPr="00696D28">
              <w:rPr>
                <w:rFonts w:asciiTheme="minorHAnsi" w:hAnsiTheme="minorHAnsi"/>
                <w:sz w:val="24"/>
                <w:szCs w:val="24"/>
              </w:rPr>
              <w:t>la disponibilità della fonte energetica rinnovabile;</w:t>
            </w:r>
          </w:p>
        </w:tc>
        <w:tc>
          <w:tcPr>
            <w:tcW w:w="2500" w:type="pct"/>
          </w:tcPr>
          <w:p w14:paraId="6BE88D8B" w14:textId="77777777" w:rsidR="00696D28" w:rsidRPr="00322CB0" w:rsidRDefault="00696D28" w:rsidP="00322CB0">
            <w:pPr>
              <w:spacing w:line="276" w:lineRule="auto"/>
              <w:jc w:val="both"/>
              <w:rPr>
                <w:rFonts w:asciiTheme="minorHAnsi" w:hAnsiTheme="minorHAnsi"/>
                <w:sz w:val="24"/>
                <w:szCs w:val="24"/>
              </w:rPr>
            </w:pPr>
          </w:p>
        </w:tc>
      </w:tr>
      <w:tr w:rsidR="00696D28" w:rsidRPr="00696D28" w14:paraId="6AEF282A" w14:textId="538AEEE7" w:rsidTr="00696D28">
        <w:tc>
          <w:tcPr>
            <w:tcW w:w="2500" w:type="pct"/>
          </w:tcPr>
          <w:p w14:paraId="59D21151" w14:textId="77777777" w:rsidR="00696D28" w:rsidRPr="00696D28" w:rsidRDefault="00696D28" w:rsidP="00A317BF">
            <w:pPr>
              <w:pStyle w:val="Paragrafoelenco"/>
              <w:numPr>
                <w:ilvl w:val="0"/>
                <w:numId w:val="8"/>
              </w:numPr>
              <w:spacing w:line="276" w:lineRule="auto"/>
              <w:ind w:left="1163" w:hanging="142"/>
              <w:jc w:val="both"/>
              <w:rPr>
                <w:rFonts w:asciiTheme="minorHAnsi" w:hAnsiTheme="minorHAnsi"/>
                <w:sz w:val="24"/>
                <w:szCs w:val="24"/>
              </w:rPr>
            </w:pPr>
            <w:r w:rsidRPr="00696D28">
              <w:rPr>
                <w:rFonts w:asciiTheme="minorHAnsi" w:hAnsiTheme="minorHAnsi"/>
                <w:sz w:val="24"/>
                <w:szCs w:val="24"/>
              </w:rPr>
              <w:t xml:space="preserve">le condizioni di assetto geomorfologico e di rischio geomorfologico del territorio; </w:t>
            </w:r>
          </w:p>
        </w:tc>
        <w:tc>
          <w:tcPr>
            <w:tcW w:w="2500" w:type="pct"/>
          </w:tcPr>
          <w:p w14:paraId="13FBF2DB" w14:textId="77777777" w:rsidR="00696D28" w:rsidRPr="00322CB0" w:rsidRDefault="00696D28" w:rsidP="00322CB0">
            <w:pPr>
              <w:spacing w:line="276" w:lineRule="auto"/>
              <w:jc w:val="both"/>
              <w:rPr>
                <w:rFonts w:asciiTheme="minorHAnsi" w:hAnsiTheme="minorHAnsi"/>
                <w:sz w:val="24"/>
                <w:szCs w:val="24"/>
              </w:rPr>
            </w:pPr>
          </w:p>
        </w:tc>
      </w:tr>
      <w:tr w:rsidR="00696D28" w:rsidRPr="00696D28" w14:paraId="2AD95B7A" w14:textId="43A0745B" w:rsidTr="00696D28">
        <w:tc>
          <w:tcPr>
            <w:tcW w:w="2500" w:type="pct"/>
          </w:tcPr>
          <w:p w14:paraId="73E4C7FE" w14:textId="77777777" w:rsidR="00696D28" w:rsidRPr="00696D28" w:rsidRDefault="00696D28" w:rsidP="00A317BF">
            <w:pPr>
              <w:pStyle w:val="Paragrafoelenco"/>
              <w:numPr>
                <w:ilvl w:val="0"/>
                <w:numId w:val="8"/>
              </w:numPr>
              <w:spacing w:line="276" w:lineRule="auto"/>
              <w:ind w:left="1163" w:hanging="142"/>
              <w:jc w:val="both"/>
              <w:rPr>
                <w:rFonts w:asciiTheme="minorHAnsi" w:hAnsiTheme="minorHAnsi"/>
                <w:sz w:val="24"/>
                <w:szCs w:val="24"/>
              </w:rPr>
            </w:pPr>
            <w:r w:rsidRPr="00696D28">
              <w:rPr>
                <w:rFonts w:asciiTheme="minorHAnsi" w:hAnsiTheme="minorHAnsi"/>
                <w:sz w:val="24"/>
                <w:szCs w:val="24"/>
              </w:rPr>
              <w:t>le condizioni di antropizzazione del territorio;</w:t>
            </w:r>
          </w:p>
        </w:tc>
        <w:tc>
          <w:tcPr>
            <w:tcW w:w="2500" w:type="pct"/>
          </w:tcPr>
          <w:p w14:paraId="7D9C94C1" w14:textId="77777777" w:rsidR="00696D28" w:rsidRPr="00322CB0" w:rsidRDefault="00696D28" w:rsidP="00322CB0">
            <w:pPr>
              <w:spacing w:line="276" w:lineRule="auto"/>
              <w:jc w:val="both"/>
              <w:rPr>
                <w:rFonts w:asciiTheme="minorHAnsi" w:hAnsiTheme="minorHAnsi"/>
                <w:sz w:val="24"/>
                <w:szCs w:val="24"/>
              </w:rPr>
            </w:pPr>
          </w:p>
        </w:tc>
      </w:tr>
      <w:tr w:rsidR="00696D28" w:rsidRPr="00696D28" w14:paraId="150F5189" w14:textId="7B03BE2D" w:rsidTr="00696D28">
        <w:tc>
          <w:tcPr>
            <w:tcW w:w="2500" w:type="pct"/>
          </w:tcPr>
          <w:p w14:paraId="6F972911" w14:textId="77777777" w:rsidR="00696D28" w:rsidRPr="00696D28" w:rsidRDefault="00696D28" w:rsidP="00A317BF">
            <w:pPr>
              <w:pStyle w:val="Paragrafoelenco"/>
              <w:numPr>
                <w:ilvl w:val="0"/>
                <w:numId w:val="8"/>
              </w:numPr>
              <w:spacing w:line="276" w:lineRule="auto"/>
              <w:ind w:left="1163" w:hanging="142"/>
              <w:jc w:val="both"/>
              <w:rPr>
                <w:rFonts w:asciiTheme="minorHAnsi" w:hAnsiTheme="minorHAnsi"/>
                <w:sz w:val="24"/>
                <w:szCs w:val="24"/>
              </w:rPr>
            </w:pPr>
            <w:r w:rsidRPr="00696D28">
              <w:rPr>
                <w:rFonts w:asciiTheme="minorHAnsi" w:hAnsiTheme="minorHAnsi"/>
                <w:sz w:val="24"/>
                <w:szCs w:val="24"/>
              </w:rPr>
              <w:t>le condizioni di connessione alla rete di distribuzione o trasporto dell’energia;</w:t>
            </w:r>
          </w:p>
        </w:tc>
        <w:tc>
          <w:tcPr>
            <w:tcW w:w="2500" w:type="pct"/>
          </w:tcPr>
          <w:p w14:paraId="59A3AD2C" w14:textId="77777777" w:rsidR="00696D28" w:rsidRPr="00696D28" w:rsidRDefault="00696D28" w:rsidP="00A317BF">
            <w:pPr>
              <w:pStyle w:val="Paragrafoelenco"/>
              <w:numPr>
                <w:ilvl w:val="0"/>
                <w:numId w:val="8"/>
              </w:numPr>
              <w:spacing w:line="276" w:lineRule="auto"/>
              <w:ind w:left="1163" w:hanging="142"/>
              <w:jc w:val="both"/>
              <w:rPr>
                <w:rFonts w:asciiTheme="minorHAnsi" w:hAnsiTheme="minorHAnsi"/>
                <w:sz w:val="24"/>
                <w:szCs w:val="24"/>
              </w:rPr>
            </w:pPr>
          </w:p>
        </w:tc>
      </w:tr>
      <w:tr w:rsidR="00696D28" w:rsidRPr="00696D28" w14:paraId="2F28233F" w14:textId="77374F51" w:rsidTr="00696D28">
        <w:tc>
          <w:tcPr>
            <w:tcW w:w="2500" w:type="pct"/>
          </w:tcPr>
          <w:p w14:paraId="07B7BF07" w14:textId="77777777" w:rsidR="00696D28" w:rsidRPr="00696D28" w:rsidRDefault="00696D28" w:rsidP="00A317BF">
            <w:pPr>
              <w:pStyle w:val="Paragrafoelenco"/>
              <w:numPr>
                <w:ilvl w:val="0"/>
                <w:numId w:val="10"/>
              </w:numPr>
              <w:spacing w:after="200" w:line="276" w:lineRule="auto"/>
              <w:ind w:left="880" w:hanging="283"/>
              <w:jc w:val="both"/>
              <w:rPr>
                <w:rFonts w:asciiTheme="minorHAnsi" w:hAnsiTheme="minorHAnsi"/>
                <w:sz w:val="24"/>
                <w:szCs w:val="24"/>
              </w:rPr>
            </w:pPr>
            <w:r w:rsidRPr="00696D28">
              <w:rPr>
                <w:rFonts w:asciiTheme="minorHAnsi" w:hAnsiTheme="minorHAnsi"/>
                <w:sz w:val="24"/>
                <w:szCs w:val="24"/>
              </w:rPr>
              <w:t xml:space="preserve">massimizzazione delle aree da individuare al fine di conseguire gli obiettivi di burden sharing di cui alla tabella A dell’art. 2 del Decreto ministeriale 21 giugno 2024; </w:t>
            </w:r>
          </w:p>
        </w:tc>
        <w:tc>
          <w:tcPr>
            <w:tcW w:w="2500" w:type="pct"/>
          </w:tcPr>
          <w:p w14:paraId="1FEACA91"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02C0FA7A" w14:textId="0D69E523" w:rsidTr="00696D28">
        <w:tc>
          <w:tcPr>
            <w:tcW w:w="2500" w:type="pct"/>
          </w:tcPr>
          <w:p w14:paraId="31DCE81A" w14:textId="77777777" w:rsidR="00696D28" w:rsidRPr="00696D28" w:rsidRDefault="00696D28" w:rsidP="00A317BF">
            <w:pPr>
              <w:pStyle w:val="Paragrafoelenco"/>
              <w:numPr>
                <w:ilvl w:val="0"/>
                <w:numId w:val="10"/>
              </w:numPr>
              <w:spacing w:after="200" w:line="276" w:lineRule="auto"/>
              <w:ind w:left="880" w:hanging="283"/>
              <w:jc w:val="both"/>
              <w:rPr>
                <w:rFonts w:asciiTheme="minorHAnsi" w:hAnsiTheme="minorHAnsi"/>
                <w:sz w:val="24"/>
                <w:szCs w:val="24"/>
              </w:rPr>
            </w:pPr>
            <w:r w:rsidRPr="00696D28">
              <w:rPr>
                <w:rFonts w:asciiTheme="minorHAnsi" w:hAnsiTheme="minorHAnsi"/>
                <w:sz w:val="24"/>
                <w:szCs w:val="24"/>
              </w:rPr>
              <w:t xml:space="preserve">rispetto delle esigenze di tutela dell’ambiente, del territorio, del patrimonio naturale, culturale, del paesaggio, delle aree agricole e forestali, della qualità dell’aria e dei corpi idrici; </w:t>
            </w:r>
          </w:p>
        </w:tc>
        <w:tc>
          <w:tcPr>
            <w:tcW w:w="2500" w:type="pct"/>
          </w:tcPr>
          <w:p w14:paraId="328815A1"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35326EE4" w14:textId="29B297E2" w:rsidTr="00696D28">
        <w:tc>
          <w:tcPr>
            <w:tcW w:w="2500" w:type="pct"/>
          </w:tcPr>
          <w:p w14:paraId="4055C34E" w14:textId="77777777" w:rsidR="00696D28" w:rsidRPr="00696D28" w:rsidRDefault="00696D28" w:rsidP="00A317BF">
            <w:pPr>
              <w:pStyle w:val="Paragrafoelenco"/>
              <w:numPr>
                <w:ilvl w:val="0"/>
                <w:numId w:val="10"/>
              </w:numPr>
              <w:spacing w:after="200" w:line="276" w:lineRule="auto"/>
              <w:ind w:left="880" w:hanging="283"/>
              <w:jc w:val="both"/>
              <w:rPr>
                <w:rFonts w:asciiTheme="minorHAnsi" w:hAnsiTheme="minorHAnsi"/>
                <w:sz w:val="24"/>
                <w:szCs w:val="24"/>
              </w:rPr>
            </w:pPr>
            <w:r w:rsidRPr="00696D28">
              <w:rPr>
                <w:rFonts w:asciiTheme="minorHAnsi" w:hAnsiTheme="minorHAnsi"/>
                <w:sz w:val="24"/>
                <w:szCs w:val="24"/>
              </w:rPr>
              <w:t xml:space="preserve">minimizzazione degli impatti sulle componenti patrimonio ambientale, culturale, del paesaggio, delle aree agricole e </w:t>
            </w:r>
            <w:r w:rsidRPr="00696D28">
              <w:rPr>
                <w:rFonts w:asciiTheme="minorHAnsi" w:hAnsiTheme="minorHAnsi"/>
                <w:sz w:val="24"/>
                <w:szCs w:val="24"/>
              </w:rPr>
              <w:lastRenderedPageBreak/>
              <w:t>forestali, contemperando la valutazione in relazione ai diversi livelli di tutela insistenti sulla determinata porzione di area</w:t>
            </w:r>
            <w:r w:rsidRPr="00696D28">
              <w:rPr>
                <w:rFonts w:asciiTheme="minorHAnsi" w:hAnsiTheme="minorHAnsi"/>
                <w:strike/>
                <w:sz w:val="24"/>
                <w:szCs w:val="24"/>
              </w:rPr>
              <w:t>;</w:t>
            </w:r>
          </w:p>
        </w:tc>
        <w:tc>
          <w:tcPr>
            <w:tcW w:w="2500" w:type="pct"/>
          </w:tcPr>
          <w:p w14:paraId="43797D23"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057C3C80" w14:textId="26C27EDC" w:rsidTr="00696D28">
        <w:tc>
          <w:tcPr>
            <w:tcW w:w="2500" w:type="pct"/>
          </w:tcPr>
          <w:p w14:paraId="6AD4EC5B" w14:textId="77777777" w:rsidR="00696D28" w:rsidRPr="00696D28" w:rsidRDefault="00696D28" w:rsidP="00A317BF">
            <w:pPr>
              <w:pStyle w:val="Paragrafoelenco"/>
              <w:numPr>
                <w:ilvl w:val="0"/>
                <w:numId w:val="10"/>
              </w:numPr>
              <w:spacing w:after="200" w:line="276" w:lineRule="auto"/>
              <w:ind w:left="880" w:hanging="283"/>
              <w:jc w:val="both"/>
              <w:rPr>
                <w:rFonts w:asciiTheme="minorHAnsi" w:hAnsiTheme="minorHAnsi"/>
                <w:sz w:val="24"/>
                <w:szCs w:val="24"/>
              </w:rPr>
            </w:pPr>
            <w:r w:rsidRPr="00696D28">
              <w:rPr>
                <w:rFonts w:asciiTheme="minorHAnsi" w:hAnsiTheme="minorHAnsi"/>
                <w:sz w:val="24"/>
                <w:szCs w:val="24"/>
              </w:rPr>
              <w:t>preferenza di utilizzo di superfici e strutture edificate, quali capannoni industriali e   parcheggi, nonché aree a destinazione industriale, artigianale, per servizi e logistica.</w:t>
            </w:r>
          </w:p>
        </w:tc>
        <w:tc>
          <w:tcPr>
            <w:tcW w:w="2500" w:type="pct"/>
          </w:tcPr>
          <w:p w14:paraId="0E897AEB"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792FC214" w14:textId="4B3D374D" w:rsidTr="00696D28">
        <w:tc>
          <w:tcPr>
            <w:tcW w:w="2500" w:type="pct"/>
          </w:tcPr>
          <w:p w14:paraId="0A299B19" w14:textId="77777777" w:rsidR="00696D28" w:rsidRPr="00696D28" w:rsidRDefault="00696D28" w:rsidP="00A317BF">
            <w:pPr>
              <w:jc w:val="both"/>
              <w:rPr>
                <w:rFonts w:asciiTheme="minorHAnsi" w:hAnsiTheme="minorHAnsi"/>
                <w:b/>
                <w:sz w:val="24"/>
                <w:szCs w:val="24"/>
              </w:rPr>
            </w:pPr>
            <w:r w:rsidRPr="00696D28">
              <w:rPr>
                <w:rFonts w:asciiTheme="minorHAnsi" w:hAnsiTheme="minorHAnsi"/>
                <w:b/>
                <w:sz w:val="24"/>
                <w:szCs w:val="24"/>
              </w:rPr>
              <w:t>Art. 7 Classificazione delle superfici e aree idonee</w:t>
            </w:r>
          </w:p>
        </w:tc>
        <w:tc>
          <w:tcPr>
            <w:tcW w:w="2500" w:type="pct"/>
          </w:tcPr>
          <w:p w14:paraId="067F6C14" w14:textId="77777777" w:rsidR="00696D28" w:rsidRPr="00696D28" w:rsidRDefault="00696D28" w:rsidP="00A317BF">
            <w:pPr>
              <w:jc w:val="both"/>
              <w:rPr>
                <w:rFonts w:asciiTheme="minorHAnsi" w:hAnsiTheme="minorHAnsi"/>
                <w:b/>
                <w:sz w:val="24"/>
                <w:szCs w:val="24"/>
              </w:rPr>
            </w:pPr>
          </w:p>
        </w:tc>
      </w:tr>
      <w:tr w:rsidR="00696D28" w:rsidRPr="00696D28" w14:paraId="76D7FE75" w14:textId="6161EC58" w:rsidTr="00696D28">
        <w:tc>
          <w:tcPr>
            <w:tcW w:w="2500" w:type="pct"/>
          </w:tcPr>
          <w:p w14:paraId="38357BB7" w14:textId="77777777" w:rsidR="00696D28" w:rsidRPr="00696D28" w:rsidRDefault="00696D28" w:rsidP="00A317BF">
            <w:pPr>
              <w:pStyle w:val="Paragrafoelenco"/>
              <w:numPr>
                <w:ilvl w:val="0"/>
                <w:numId w:val="15"/>
              </w:numPr>
              <w:spacing w:after="200" w:line="276" w:lineRule="auto"/>
              <w:ind w:left="340" w:hanging="283"/>
              <w:jc w:val="both"/>
              <w:rPr>
                <w:rFonts w:asciiTheme="minorHAnsi" w:hAnsiTheme="minorHAnsi"/>
                <w:sz w:val="24"/>
                <w:szCs w:val="24"/>
              </w:rPr>
            </w:pPr>
            <w:r w:rsidRPr="00696D28">
              <w:rPr>
                <w:rFonts w:asciiTheme="minorHAnsi" w:hAnsiTheme="minorHAnsi"/>
                <w:sz w:val="24"/>
                <w:szCs w:val="24"/>
              </w:rPr>
              <w:t>Le superfici e aree idonee, suddivise per fonte rinnovabile, sono individuate secondo i criteri indicati all’art. 5.</w:t>
            </w:r>
          </w:p>
        </w:tc>
        <w:tc>
          <w:tcPr>
            <w:tcW w:w="2500" w:type="pct"/>
          </w:tcPr>
          <w:p w14:paraId="04B4C4D6" w14:textId="77777777" w:rsidR="00696D28" w:rsidRPr="00322CB0" w:rsidRDefault="00696D28" w:rsidP="00322CB0">
            <w:pPr>
              <w:spacing w:after="200" w:line="276" w:lineRule="auto"/>
              <w:ind w:left="57"/>
              <w:jc w:val="both"/>
              <w:rPr>
                <w:rFonts w:asciiTheme="minorHAnsi" w:hAnsiTheme="minorHAnsi"/>
                <w:sz w:val="24"/>
                <w:szCs w:val="24"/>
              </w:rPr>
            </w:pPr>
          </w:p>
        </w:tc>
      </w:tr>
      <w:tr w:rsidR="00696D28" w:rsidRPr="00696D28" w14:paraId="453E2AEB" w14:textId="25F0098E" w:rsidTr="00696D28">
        <w:tc>
          <w:tcPr>
            <w:tcW w:w="2500" w:type="pct"/>
          </w:tcPr>
          <w:p w14:paraId="5749CCAF" w14:textId="77777777" w:rsidR="00696D28" w:rsidRPr="00696D28" w:rsidRDefault="00696D28" w:rsidP="00A317BF">
            <w:pPr>
              <w:pStyle w:val="Paragrafoelenco"/>
              <w:numPr>
                <w:ilvl w:val="0"/>
                <w:numId w:val="15"/>
              </w:numPr>
              <w:spacing w:after="200" w:line="276" w:lineRule="auto"/>
              <w:ind w:left="482" w:hanging="425"/>
              <w:jc w:val="both"/>
              <w:rPr>
                <w:rFonts w:asciiTheme="minorHAnsi" w:hAnsiTheme="minorHAnsi"/>
                <w:sz w:val="24"/>
                <w:szCs w:val="24"/>
              </w:rPr>
            </w:pPr>
            <w:r w:rsidRPr="00696D28">
              <w:rPr>
                <w:rFonts w:asciiTheme="minorHAnsi" w:hAnsiTheme="minorHAnsi"/>
                <w:sz w:val="24"/>
                <w:szCs w:val="24"/>
              </w:rPr>
              <w:t>Le superfici e aree idonee riferite a ciascuna fonte rinnovabile sono tra loro indipendenti ovvero l’appartenenza ad una categoria indicata al presente articolo è condizione sufficiente per essere area idonea, mentre l’esclusione da una delle classi dello stesso non esclude che l’area possa comunque risultare idonea per un’altra categoria.</w:t>
            </w:r>
          </w:p>
        </w:tc>
        <w:tc>
          <w:tcPr>
            <w:tcW w:w="2500" w:type="pct"/>
          </w:tcPr>
          <w:p w14:paraId="04AB4ED4"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363E37A9" w14:textId="3AFBBE02" w:rsidTr="00696D28">
        <w:tc>
          <w:tcPr>
            <w:tcW w:w="2500" w:type="pct"/>
          </w:tcPr>
          <w:p w14:paraId="7D014EF0" w14:textId="77777777" w:rsidR="00696D28" w:rsidRPr="00696D28" w:rsidRDefault="00696D28" w:rsidP="00A317BF">
            <w:pPr>
              <w:pStyle w:val="Paragrafoelenco"/>
              <w:numPr>
                <w:ilvl w:val="0"/>
                <w:numId w:val="15"/>
              </w:numPr>
              <w:spacing w:after="200" w:line="276" w:lineRule="auto"/>
              <w:ind w:left="482" w:hanging="425"/>
              <w:jc w:val="both"/>
              <w:rPr>
                <w:rFonts w:asciiTheme="minorHAnsi" w:hAnsiTheme="minorHAnsi"/>
                <w:i/>
                <w:iCs/>
                <w:sz w:val="24"/>
                <w:szCs w:val="24"/>
              </w:rPr>
            </w:pPr>
            <w:r w:rsidRPr="00696D28">
              <w:rPr>
                <w:rFonts w:asciiTheme="minorHAnsi" w:hAnsiTheme="minorHAnsi"/>
                <w:sz w:val="24"/>
                <w:szCs w:val="24"/>
                <w:u w:val="single"/>
              </w:rPr>
              <w:t xml:space="preserve">Superfici e aree idonee per la fonte fotovoltaica- </w:t>
            </w:r>
            <w:r w:rsidRPr="00696D28">
              <w:rPr>
                <w:rFonts w:asciiTheme="minorHAnsi" w:hAnsiTheme="minorHAnsi"/>
                <w:i/>
                <w:iCs/>
                <w:sz w:val="24"/>
                <w:szCs w:val="24"/>
              </w:rPr>
              <w:t xml:space="preserve">fotovoltaico su coperture, fotovoltaico al </w:t>
            </w:r>
            <w:proofErr w:type="gramStart"/>
            <w:r w:rsidRPr="00696D28">
              <w:rPr>
                <w:rFonts w:asciiTheme="minorHAnsi" w:hAnsiTheme="minorHAnsi"/>
                <w:i/>
                <w:iCs/>
                <w:sz w:val="24"/>
                <w:szCs w:val="24"/>
              </w:rPr>
              <w:t>suolo ,</w:t>
            </w:r>
            <w:proofErr w:type="gramEnd"/>
            <w:r w:rsidRPr="00696D28">
              <w:rPr>
                <w:rFonts w:asciiTheme="minorHAnsi" w:hAnsiTheme="minorHAnsi"/>
                <w:i/>
                <w:iCs/>
                <w:sz w:val="24"/>
                <w:szCs w:val="24"/>
              </w:rPr>
              <w:t xml:space="preserve"> fotovoltaico flottante, </w:t>
            </w:r>
            <w:proofErr w:type="spellStart"/>
            <w:r w:rsidRPr="00696D28">
              <w:rPr>
                <w:rFonts w:asciiTheme="minorHAnsi" w:hAnsiTheme="minorHAnsi"/>
                <w:i/>
                <w:iCs/>
                <w:sz w:val="24"/>
                <w:szCs w:val="24"/>
              </w:rPr>
              <w:t>agrivoltaico</w:t>
            </w:r>
            <w:proofErr w:type="spellEnd"/>
            <w:r w:rsidRPr="00696D28">
              <w:rPr>
                <w:rFonts w:asciiTheme="minorHAnsi" w:hAnsiTheme="minorHAnsi"/>
                <w:sz w:val="24"/>
                <w:szCs w:val="24"/>
                <w:u w:val="single"/>
              </w:rPr>
              <w:t>:</w:t>
            </w:r>
            <w:r w:rsidRPr="00696D28">
              <w:rPr>
                <w:rFonts w:asciiTheme="minorHAnsi" w:hAnsiTheme="minorHAnsi" w:cs="Segoe UI"/>
                <w:sz w:val="24"/>
                <w:szCs w:val="24"/>
              </w:rPr>
              <w:t xml:space="preserve"> </w:t>
            </w:r>
          </w:p>
        </w:tc>
        <w:tc>
          <w:tcPr>
            <w:tcW w:w="2500" w:type="pct"/>
          </w:tcPr>
          <w:p w14:paraId="66B525E5" w14:textId="77777777" w:rsidR="00696D28" w:rsidRPr="00322CB0" w:rsidRDefault="00696D28" w:rsidP="00322CB0">
            <w:pPr>
              <w:spacing w:after="200" w:line="276" w:lineRule="auto"/>
              <w:jc w:val="both"/>
              <w:rPr>
                <w:rFonts w:asciiTheme="minorHAnsi" w:hAnsiTheme="minorHAnsi"/>
                <w:sz w:val="24"/>
                <w:szCs w:val="24"/>
                <w:u w:val="single"/>
              </w:rPr>
            </w:pPr>
          </w:p>
        </w:tc>
      </w:tr>
      <w:tr w:rsidR="00696D28" w:rsidRPr="00696D28" w14:paraId="31BD0FF8" w14:textId="4E7BB3DB" w:rsidTr="00696D28">
        <w:tc>
          <w:tcPr>
            <w:tcW w:w="2500" w:type="pct"/>
          </w:tcPr>
          <w:p w14:paraId="0BEA2C95"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i siti nei quali sono presenti impianti di produzione di energia da fonte fotovoltaica e nei quali è possibile, eventualmente abbinando sistemi di accumulo, effettuare interventi di modifica, anche sostanziale, di rifacimento, di potenziamento, di integrale ricostruzione, secondo quanto previsto dalla normativa nazionale;</w:t>
            </w:r>
          </w:p>
        </w:tc>
        <w:tc>
          <w:tcPr>
            <w:tcW w:w="2500" w:type="pct"/>
          </w:tcPr>
          <w:p w14:paraId="7AAFC773"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39ED1088" w14:textId="44838063" w:rsidTr="00696D28">
        <w:tc>
          <w:tcPr>
            <w:tcW w:w="2500" w:type="pct"/>
          </w:tcPr>
          <w:p w14:paraId="3D1A6DA4"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lastRenderedPageBreak/>
              <w:t>edifici e strutture edificate e relative superfici esterne pertinenziali già urbanizzate, a destinazione industriale, direzionale, artigianale, commerciale, logistica e data center, parcheggi e servizi pubblici o ad uso pubblico – solo fotovoltaico su coperture</w:t>
            </w:r>
            <w:r w:rsidRPr="00696D28">
              <w:rPr>
                <w:rFonts w:asciiTheme="minorHAnsi" w:hAnsiTheme="minorHAnsi"/>
                <w:strike/>
                <w:sz w:val="24"/>
                <w:szCs w:val="24"/>
              </w:rPr>
              <w:t>;</w:t>
            </w:r>
          </w:p>
        </w:tc>
        <w:tc>
          <w:tcPr>
            <w:tcW w:w="2500" w:type="pct"/>
          </w:tcPr>
          <w:p w14:paraId="03E12851"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56A26D20" w14:textId="6FD45070" w:rsidTr="00696D28">
        <w:tc>
          <w:tcPr>
            <w:tcW w:w="2500" w:type="pct"/>
          </w:tcPr>
          <w:p w14:paraId="56A01715"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 xml:space="preserve">le cave e le miniere in attività, comprese le cave con falda freatica affiorante (lago di cava), le cave e le miniere, anche se in zone classificate agricole dai piani urbanistici vigenti, ove l’attività estrattiva è terminata, fatto salvo i casi in cui il recupero  o ripristino ambientale abbia finalità naturalistica, comprese le cave con falda freatica affiorante (lago di cava) nelle quali non è stato effettuato il recupero o il recupero o ripristino ambientale è terminato, le cave e le miniere abbandonate o in condizioni di degrado ambientale, compresi i relativi invasi idrici. Gli impianti flottanti su lago di cava interesseranno una superficie massima del 70 per cento dello specchio d'acqua, mantenendo una distanza minima del perimetro dell'impianto non inferiore a 10 metri dalle sponde ed escludendo le aree in cui la profondità idrica sia uguale o inferiore ai 3 metri, e saranno realizzati in modo tale da non impedire gli ulteriori utilizzi dei laghi di cava in condizioni di sicurezza, a fronte della assunzione, nel progetto interessato, degli accorgimenti idonei a garantire un adeguato inserimento ambientale e paesaggistico -fotovoltaico al suolo, </w:t>
            </w:r>
            <w:proofErr w:type="spellStart"/>
            <w:r w:rsidRPr="00696D28">
              <w:rPr>
                <w:rFonts w:asciiTheme="minorHAnsi" w:hAnsiTheme="minorHAnsi"/>
                <w:sz w:val="24"/>
                <w:szCs w:val="24"/>
              </w:rPr>
              <w:t>agrivoltaico</w:t>
            </w:r>
            <w:proofErr w:type="spellEnd"/>
            <w:r w:rsidRPr="00696D28">
              <w:rPr>
                <w:rFonts w:asciiTheme="minorHAnsi" w:hAnsiTheme="minorHAnsi"/>
                <w:sz w:val="24"/>
                <w:szCs w:val="24"/>
              </w:rPr>
              <w:t>, fotovoltaico flottante;</w:t>
            </w:r>
          </w:p>
        </w:tc>
        <w:tc>
          <w:tcPr>
            <w:tcW w:w="2500" w:type="pct"/>
          </w:tcPr>
          <w:p w14:paraId="3F1ECE8D"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521D2BDE" w14:textId="1BE6C66D" w:rsidTr="00696D28">
        <w:tc>
          <w:tcPr>
            <w:tcW w:w="2500" w:type="pct"/>
          </w:tcPr>
          <w:p w14:paraId="30413F11" w14:textId="77777777" w:rsidR="00696D28" w:rsidRPr="00696D28" w:rsidRDefault="00696D28" w:rsidP="00A317BF">
            <w:pPr>
              <w:pStyle w:val="Paragrafoelenco"/>
              <w:numPr>
                <w:ilvl w:val="1"/>
                <w:numId w:val="15"/>
              </w:numPr>
              <w:spacing w:after="200" w:line="276" w:lineRule="auto"/>
              <w:ind w:left="482" w:hanging="142"/>
              <w:jc w:val="both"/>
              <w:rPr>
                <w:rFonts w:asciiTheme="minorHAnsi" w:hAnsiTheme="minorHAnsi"/>
                <w:sz w:val="24"/>
                <w:szCs w:val="24"/>
              </w:rPr>
            </w:pPr>
            <w:r w:rsidRPr="00696D28">
              <w:rPr>
                <w:rFonts w:asciiTheme="minorHAnsi" w:hAnsiTheme="minorHAnsi"/>
                <w:sz w:val="24"/>
                <w:szCs w:val="24"/>
              </w:rPr>
              <w:t xml:space="preserve">le discariche autorizzate o adeguate ai sensi del d.lgs. 36/2003 e le discariche ante-norma o cessate ai sensi dell’art. </w:t>
            </w:r>
            <w:r w:rsidRPr="00696D28">
              <w:rPr>
                <w:rFonts w:asciiTheme="minorHAnsi" w:hAnsiTheme="minorHAnsi"/>
                <w:sz w:val="24"/>
                <w:szCs w:val="24"/>
              </w:rPr>
              <w:lastRenderedPageBreak/>
              <w:t xml:space="preserve">17-ter della </w:t>
            </w:r>
            <w:proofErr w:type="spellStart"/>
            <w:r w:rsidRPr="00696D28">
              <w:rPr>
                <w:rFonts w:asciiTheme="minorHAnsi" w:hAnsiTheme="minorHAnsi"/>
                <w:sz w:val="24"/>
                <w:szCs w:val="24"/>
              </w:rPr>
              <w:t>l.r</w:t>
            </w:r>
            <w:proofErr w:type="spellEnd"/>
            <w:r w:rsidRPr="00696D28">
              <w:rPr>
                <w:rFonts w:asciiTheme="minorHAnsi" w:hAnsiTheme="minorHAnsi"/>
                <w:sz w:val="24"/>
                <w:szCs w:val="24"/>
              </w:rPr>
              <w:t xml:space="preserve">. n. 26/2003 verificando, con nulla osta dell’Autorità competente per la discarica, la compatibilità tecnica - fotovoltaico al suolo, </w:t>
            </w:r>
            <w:proofErr w:type="spellStart"/>
            <w:r w:rsidRPr="00696D28">
              <w:rPr>
                <w:rFonts w:asciiTheme="minorHAnsi" w:hAnsiTheme="minorHAnsi"/>
                <w:sz w:val="24"/>
                <w:szCs w:val="24"/>
              </w:rPr>
              <w:t>agrivoltaico</w:t>
            </w:r>
            <w:proofErr w:type="spellEnd"/>
            <w:r w:rsidRPr="00696D28">
              <w:rPr>
                <w:rFonts w:asciiTheme="minorHAnsi" w:hAnsiTheme="minorHAnsi"/>
                <w:sz w:val="24"/>
                <w:szCs w:val="24"/>
              </w:rPr>
              <w:t>;</w:t>
            </w:r>
          </w:p>
        </w:tc>
        <w:tc>
          <w:tcPr>
            <w:tcW w:w="2500" w:type="pct"/>
          </w:tcPr>
          <w:p w14:paraId="7F56F6D8"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6AB7ED8B" w14:textId="4648C5F6" w:rsidTr="00696D28">
        <w:tc>
          <w:tcPr>
            <w:tcW w:w="2500" w:type="pct"/>
          </w:tcPr>
          <w:p w14:paraId="4428C26F"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i siti potenzialmente contaminati, i siti contaminati e da bonificare a condizione che detti interventi e opere siano realizzati secondo modalità e tecniche che non pregiudichino né interferiscano con l'esecuzione e il completamento della bonifica, né determinino rischi per la salute dei lavoratori e degli altri fruitori dell'area nel rispetto del decreto legislativo 9 aprile 2008, n. 81 - fotovoltaico al suolo;</w:t>
            </w:r>
          </w:p>
        </w:tc>
        <w:tc>
          <w:tcPr>
            <w:tcW w:w="2500" w:type="pct"/>
          </w:tcPr>
          <w:p w14:paraId="70DF5431"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62B6446C" w14:textId="42ADD63C" w:rsidTr="00696D28">
        <w:tc>
          <w:tcPr>
            <w:tcW w:w="2500" w:type="pct"/>
          </w:tcPr>
          <w:p w14:paraId="2D20E9CE"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le aree dismesse individuate dai PGT comunali - fotovoltaico al suolo, fotovoltaico su copertura;</w:t>
            </w:r>
          </w:p>
        </w:tc>
        <w:tc>
          <w:tcPr>
            <w:tcW w:w="2500" w:type="pct"/>
          </w:tcPr>
          <w:p w14:paraId="22008E25"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148E6D8E" w14:textId="0A59ECD3" w:rsidTr="00696D28">
        <w:tc>
          <w:tcPr>
            <w:tcW w:w="2500" w:type="pct"/>
          </w:tcPr>
          <w:p w14:paraId="056BD31B"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le aree classificate industriali, artigianali, commerciali dai PGT comunali, compresi gli ambiti di trasformazione con le predette classificazioni - fotovoltaico al suolo;</w:t>
            </w:r>
          </w:p>
        </w:tc>
        <w:tc>
          <w:tcPr>
            <w:tcW w:w="2500" w:type="pct"/>
          </w:tcPr>
          <w:p w14:paraId="36DF03CA"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214BE096" w14:textId="24A12B82" w:rsidTr="00696D28">
        <w:tc>
          <w:tcPr>
            <w:tcW w:w="2500" w:type="pct"/>
          </w:tcPr>
          <w:p w14:paraId="370DA3A6"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i siti e gli impianti nella disponibilità delle Società del gruppo Ferrovie dello Stato italiane e dei gestori di infrastrutture ferroviarie nonché delle società concessionarie autostradali, anche se in zone classificate agricole dai piani urbanistici vigenti - fotovoltaico al suolo, fotovoltaico su copertura;</w:t>
            </w:r>
          </w:p>
        </w:tc>
        <w:tc>
          <w:tcPr>
            <w:tcW w:w="2500" w:type="pct"/>
          </w:tcPr>
          <w:p w14:paraId="560EECDF"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7C4ECA16" w14:textId="15A20E44" w:rsidTr="00696D28">
        <w:tc>
          <w:tcPr>
            <w:tcW w:w="2500" w:type="pct"/>
          </w:tcPr>
          <w:p w14:paraId="76F3A6B1"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 xml:space="preserve">i siti e gli impianti nella disponibilità delle società di gestione aeroportuale all'interno dei sedimi aeroportuali, ferme restando le necessarie verifiche tecniche da parte dell'Ente </w:t>
            </w:r>
            <w:r w:rsidRPr="00696D28">
              <w:rPr>
                <w:rFonts w:asciiTheme="minorHAnsi" w:hAnsiTheme="minorHAnsi"/>
                <w:sz w:val="24"/>
                <w:szCs w:val="24"/>
              </w:rPr>
              <w:lastRenderedPageBreak/>
              <w:t>nazionale per l'aviazione civile (ENAC)- fotovoltaico al suolo, fotovoltaico su copertura;</w:t>
            </w:r>
          </w:p>
        </w:tc>
        <w:tc>
          <w:tcPr>
            <w:tcW w:w="2500" w:type="pct"/>
          </w:tcPr>
          <w:p w14:paraId="050A05B9"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53A0246E" w14:textId="6C8A3477" w:rsidTr="00696D28">
        <w:tc>
          <w:tcPr>
            <w:tcW w:w="2500" w:type="pct"/>
          </w:tcPr>
          <w:p w14:paraId="75AB9C82"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i beni del demanio militare o a qualunque titolo in uso al Ministero della Difesa secondo quanto previsto dall’articolo 20 del D.L. 17/2022, convertito, con modificazioni, dalla L. 34/2022- fotovoltaico al suolo, fotovoltaico su copertura;</w:t>
            </w:r>
          </w:p>
        </w:tc>
        <w:tc>
          <w:tcPr>
            <w:tcW w:w="2500" w:type="pct"/>
          </w:tcPr>
          <w:p w14:paraId="0D0BA428"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11C40C7D" w14:textId="12A54DCD" w:rsidTr="00696D28">
        <w:tc>
          <w:tcPr>
            <w:tcW w:w="2500" w:type="pct"/>
          </w:tcPr>
          <w:p w14:paraId="41A27DE2"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i beni del demanio o a qualunque titolo in uso al Ministero dell’interno, al Ministero della Giustizia e agli uffici giudiziari secondo quanto previsto dall’articolo 10 del D.L. 144/2022, convertito, con modificazione, dalla L. 175/2022- fotovoltaico al suolo, fotovoltaico su copertura;</w:t>
            </w:r>
          </w:p>
        </w:tc>
        <w:tc>
          <w:tcPr>
            <w:tcW w:w="2500" w:type="pct"/>
          </w:tcPr>
          <w:p w14:paraId="6AA67EF2"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44DC6AF2" w14:textId="10610314" w:rsidTr="00696D28">
        <w:tc>
          <w:tcPr>
            <w:tcW w:w="2500" w:type="pct"/>
          </w:tcPr>
          <w:p w14:paraId="291FD288"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i beni immobili, individuati dall’Agenzia del demanio, sentito il Ministero dell’economia e delle finanze, di proprietà dello Stato non inseriti in programmi di valorizzazione o dismissione di propria competenza, nonché i beni statali, individuati di concerto con le amministrazioni usuarie, in uso alle stesse, secondo quanto previsto dall’articolo 16, commi 1 e 2 del D.L. 13/2023, convertito con modificazioni dalla L. 41/2023 - fotovoltaico al suolo, fotovoltaico su copertura;</w:t>
            </w:r>
          </w:p>
        </w:tc>
        <w:tc>
          <w:tcPr>
            <w:tcW w:w="2500" w:type="pct"/>
          </w:tcPr>
          <w:p w14:paraId="74BFBEB9"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27CE7EB8" w14:textId="7B04C2B4" w:rsidTr="00696D28">
        <w:tc>
          <w:tcPr>
            <w:tcW w:w="2500" w:type="pct"/>
          </w:tcPr>
          <w:p w14:paraId="56FFA0F3"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i beni immobili dei Consorzi di bonifica ed irrigazione, i bacini artificiali, distinti dagli affioramenti della falda freatica di cui alla precedente lettera c), e la rete dei canali irrigui purché non pregiudichino il regolare deflusso delle acque - fotovoltaico al suolo, fotovoltaico su copertura, fotovoltaico flottante;</w:t>
            </w:r>
          </w:p>
        </w:tc>
        <w:tc>
          <w:tcPr>
            <w:tcW w:w="2500" w:type="pct"/>
          </w:tcPr>
          <w:p w14:paraId="00AE6B35"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2AD2259E" w14:textId="3E536E73" w:rsidTr="00696D28">
        <w:tc>
          <w:tcPr>
            <w:tcW w:w="2500" w:type="pct"/>
          </w:tcPr>
          <w:p w14:paraId="37E016A9" w14:textId="3B9A2B89"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lastRenderedPageBreak/>
              <w:t xml:space="preserve">le aree classificate agricole dai piani urbanistici vigenti, in assenza di vincoli ai sensi della Parte II del D. Lgs. 42/2004 e delle aree di cui all’art. 136, comma 1, lett. a, b), c), d), del medesimo decreto legislativo, racchiuse in un perimetro i cui punti distino non più </w:t>
            </w:r>
            <w:r w:rsidR="002F0CB5" w:rsidRPr="00696D28">
              <w:rPr>
                <w:rFonts w:asciiTheme="minorHAnsi" w:hAnsiTheme="minorHAnsi"/>
                <w:sz w:val="24"/>
                <w:szCs w:val="24"/>
              </w:rPr>
              <w:t>di 500</w:t>
            </w:r>
            <w:r w:rsidRPr="00696D28">
              <w:rPr>
                <w:rFonts w:asciiTheme="minorHAnsi" w:hAnsiTheme="minorHAnsi"/>
                <w:sz w:val="24"/>
                <w:szCs w:val="24"/>
              </w:rPr>
              <w:t xml:space="preserve"> metri da zone a destinazione industriale, artigianale e commerciale, compresi i siti da bonificare di interesse nazionale, al cui interno è consentita:</w:t>
            </w:r>
          </w:p>
        </w:tc>
        <w:tc>
          <w:tcPr>
            <w:tcW w:w="2500" w:type="pct"/>
          </w:tcPr>
          <w:p w14:paraId="21C11356"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3DE6C52F" w14:textId="070F9C38" w:rsidTr="00696D28">
        <w:tc>
          <w:tcPr>
            <w:tcW w:w="2500" w:type="pct"/>
          </w:tcPr>
          <w:p w14:paraId="5AF9D82B" w14:textId="77777777" w:rsidR="00696D28" w:rsidRPr="00696D28" w:rsidRDefault="00696D28" w:rsidP="00A317BF">
            <w:pPr>
              <w:pStyle w:val="Paragrafoelenco"/>
              <w:numPr>
                <w:ilvl w:val="3"/>
                <w:numId w:val="1"/>
              </w:numPr>
              <w:spacing w:after="200" w:line="276" w:lineRule="auto"/>
              <w:ind w:left="993" w:hanging="284"/>
              <w:jc w:val="both"/>
              <w:rPr>
                <w:rFonts w:asciiTheme="minorHAnsi" w:hAnsiTheme="minorHAnsi"/>
                <w:sz w:val="24"/>
                <w:szCs w:val="24"/>
              </w:rPr>
            </w:pPr>
            <w:r w:rsidRPr="00696D28">
              <w:rPr>
                <w:rFonts w:asciiTheme="minorHAnsi" w:hAnsiTheme="minorHAnsi"/>
                <w:sz w:val="24"/>
                <w:szCs w:val="24"/>
              </w:rPr>
              <w:t xml:space="preserve"> la realizzazione di impianti fotovoltaici con moduli collocati al suolo esclusivamente nei casi in cui gli stessi sono finalizzati alla costituzione di una comunità energetica, ai sensi dell’art. 31 del D. Lgs. 199/2021, nonché per progetti attuativi di misure di investimento del Piano Nazionale di Ripresa e Resilienza o di progetti necessari per il conseguimento degli obiettivi del medesimo Piano; </w:t>
            </w:r>
          </w:p>
        </w:tc>
        <w:tc>
          <w:tcPr>
            <w:tcW w:w="2500" w:type="pct"/>
          </w:tcPr>
          <w:p w14:paraId="7CE8B8E0"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59AFA602" w14:textId="070973D9" w:rsidTr="00696D28">
        <w:tc>
          <w:tcPr>
            <w:tcW w:w="2500" w:type="pct"/>
          </w:tcPr>
          <w:p w14:paraId="59277490" w14:textId="77777777" w:rsidR="00696D28" w:rsidRPr="00696D28" w:rsidRDefault="00696D28" w:rsidP="00A317BF">
            <w:pPr>
              <w:pStyle w:val="Paragrafoelenco"/>
              <w:numPr>
                <w:ilvl w:val="3"/>
                <w:numId w:val="1"/>
              </w:numPr>
              <w:spacing w:after="200" w:line="276" w:lineRule="auto"/>
              <w:ind w:left="993" w:hanging="284"/>
              <w:jc w:val="both"/>
              <w:rPr>
                <w:rFonts w:asciiTheme="minorHAnsi" w:hAnsiTheme="minorHAnsi"/>
                <w:sz w:val="24"/>
                <w:szCs w:val="24"/>
              </w:rPr>
            </w:pPr>
            <w:r w:rsidRPr="00696D28">
              <w:rPr>
                <w:rFonts w:asciiTheme="minorHAnsi" w:hAnsiTheme="minorHAnsi"/>
                <w:sz w:val="24"/>
                <w:szCs w:val="24"/>
              </w:rPr>
              <w:t xml:space="preserve">la realizzazione di impianti </w:t>
            </w:r>
            <w:proofErr w:type="spellStart"/>
            <w:r w:rsidRPr="00696D28">
              <w:rPr>
                <w:rFonts w:asciiTheme="minorHAnsi" w:hAnsiTheme="minorHAnsi"/>
                <w:sz w:val="24"/>
                <w:szCs w:val="24"/>
              </w:rPr>
              <w:t>agrivoltaici</w:t>
            </w:r>
            <w:proofErr w:type="spellEnd"/>
            <w:r w:rsidRPr="00696D28">
              <w:rPr>
                <w:rFonts w:asciiTheme="minorHAnsi" w:hAnsiTheme="minorHAnsi"/>
                <w:sz w:val="24"/>
                <w:szCs w:val="24"/>
              </w:rPr>
              <w:t xml:space="preserve"> nei casi diversi dal punto precedente in connessione con l’attività agricola;</w:t>
            </w:r>
          </w:p>
        </w:tc>
        <w:tc>
          <w:tcPr>
            <w:tcW w:w="2500" w:type="pct"/>
          </w:tcPr>
          <w:p w14:paraId="10ADF2B9"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5491B585" w14:textId="7C456118" w:rsidTr="00696D28">
        <w:tc>
          <w:tcPr>
            <w:tcW w:w="2500" w:type="pct"/>
          </w:tcPr>
          <w:p w14:paraId="42807192"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 xml:space="preserve">le aree interne agli impianti industriali e agli stabilimenti, questi ultimi come definiti dall'articolo 268, comma 1, lettera h), del D. Lgs. 152/2006, nonché le aree classificate agricole racchiuse in un perimetro i cui punti distino non più </w:t>
            </w:r>
            <w:proofErr w:type="gramStart"/>
            <w:r w:rsidRPr="00696D28">
              <w:rPr>
                <w:rFonts w:asciiTheme="minorHAnsi" w:hAnsiTheme="minorHAnsi"/>
                <w:sz w:val="24"/>
                <w:szCs w:val="24"/>
              </w:rPr>
              <w:t>di  500</w:t>
            </w:r>
            <w:proofErr w:type="gramEnd"/>
            <w:r w:rsidRPr="00696D28">
              <w:rPr>
                <w:rFonts w:asciiTheme="minorHAnsi" w:hAnsiTheme="minorHAnsi"/>
                <w:sz w:val="24"/>
                <w:szCs w:val="24"/>
              </w:rPr>
              <w:t xml:space="preserve"> metri dal medesimo impianto o stabilimento – fotovoltaico al suolo;</w:t>
            </w:r>
          </w:p>
        </w:tc>
        <w:tc>
          <w:tcPr>
            <w:tcW w:w="2500" w:type="pct"/>
          </w:tcPr>
          <w:p w14:paraId="0CAAD746" w14:textId="77777777" w:rsidR="00696D28" w:rsidRPr="00322CB0" w:rsidRDefault="00696D28" w:rsidP="00322CB0">
            <w:pPr>
              <w:spacing w:after="200" w:line="276" w:lineRule="auto"/>
              <w:ind w:left="320"/>
              <w:jc w:val="both"/>
              <w:rPr>
                <w:rFonts w:asciiTheme="minorHAnsi" w:hAnsiTheme="minorHAnsi"/>
                <w:sz w:val="24"/>
                <w:szCs w:val="24"/>
              </w:rPr>
            </w:pPr>
          </w:p>
        </w:tc>
      </w:tr>
      <w:tr w:rsidR="00696D28" w:rsidRPr="00696D28" w14:paraId="59574252" w14:textId="11114E28" w:rsidTr="00696D28">
        <w:tc>
          <w:tcPr>
            <w:tcW w:w="2500" w:type="pct"/>
          </w:tcPr>
          <w:p w14:paraId="74ED9418" w14:textId="77777777"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sz w:val="24"/>
                <w:szCs w:val="24"/>
              </w:rPr>
            </w:pPr>
            <w:r w:rsidRPr="00696D28">
              <w:rPr>
                <w:rFonts w:asciiTheme="minorHAnsi" w:hAnsiTheme="minorHAnsi"/>
                <w:sz w:val="24"/>
                <w:szCs w:val="24"/>
              </w:rPr>
              <w:t xml:space="preserve">le aree adiacenti alla rete autostradale entro una distanza non superiore </w:t>
            </w:r>
            <w:proofErr w:type="gramStart"/>
            <w:r w:rsidRPr="00696D28">
              <w:rPr>
                <w:rFonts w:asciiTheme="minorHAnsi" w:hAnsiTheme="minorHAnsi"/>
                <w:sz w:val="24"/>
                <w:szCs w:val="24"/>
              </w:rPr>
              <w:t>a  300</w:t>
            </w:r>
            <w:proofErr w:type="gramEnd"/>
            <w:r w:rsidRPr="00696D28">
              <w:rPr>
                <w:rFonts w:asciiTheme="minorHAnsi" w:hAnsiTheme="minorHAnsi"/>
                <w:sz w:val="24"/>
                <w:szCs w:val="24"/>
              </w:rPr>
              <w:t xml:space="preserve"> metri – fotovoltaico al suolo, </w:t>
            </w:r>
            <w:proofErr w:type="spellStart"/>
            <w:r w:rsidRPr="00696D28">
              <w:rPr>
                <w:rFonts w:asciiTheme="minorHAnsi" w:hAnsiTheme="minorHAnsi"/>
                <w:sz w:val="24"/>
                <w:szCs w:val="24"/>
              </w:rPr>
              <w:t>agrivoltaico</w:t>
            </w:r>
            <w:proofErr w:type="spellEnd"/>
            <w:r w:rsidRPr="00696D28">
              <w:rPr>
                <w:rFonts w:asciiTheme="minorHAnsi" w:hAnsiTheme="minorHAnsi"/>
                <w:sz w:val="24"/>
                <w:szCs w:val="24"/>
              </w:rPr>
              <w:t>;</w:t>
            </w:r>
          </w:p>
        </w:tc>
        <w:tc>
          <w:tcPr>
            <w:tcW w:w="2500" w:type="pct"/>
          </w:tcPr>
          <w:p w14:paraId="5FF01112"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7F75E6FB" w14:textId="17CBD6C1" w:rsidTr="00696D28">
        <w:tc>
          <w:tcPr>
            <w:tcW w:w="2500" w:type="pct"/>
          </w:tcPr>
          <w:p w14:paraId="03982952" w14:textId="668C7216" w:rsidR="00696D28" w:rsidRPr="00696D28" w:rsidRDefault="00696D28" w:rsidP="00A317BF">
            <w:pPr>
              <w:pStyle w:val="Paragrafoelenco"/>
              <w:numPr>
                <w:ilvl w:val="1"/>
                <w:numId w:val="15"/>
              </w:numPr>
              <w:spacing w:after="200" w:line="276" w:lineRule="auto"/>
              <w:ind w:left="603" w:hanging="283"/>
              <w:jc w:val="both"/>
              <w:rPr>
                <w:rFonts w:asciiTheme="minorHAnsi" w:hAnsiTheme="minorHAnsi"/>
                <w:bCs/>
                <w:sz w:val="24"/>
                <w:szCs w:val="24"/>
              </w:rPr>
            </w:pPr>
            <w:r w:rsidRPr="00696D28">
              <w:rPr>
                <w:rFonts w:asciiTheme="minorHAnsi" w:hAnsiTheme="minorHAnsi"/>
                <w:sz w:val="24"/>
                <w:szCs w:val="24"/>
              </w:rPr>
              <w:lastRenderedPageBreak/>
              <w:t xml:space="preserve">fatte salve le aree di cui alle lettere precedenti, le aree non ricomprese nel perimetro dei beni sottoposti a tutela ai sensi del D. Lgs. 42/2004, né ricadenti nella fascia di rispetto dei beni sottoposti a tutela ai sensi della Parte II oppure dell’articolo 136 del medesimo decreto legislativo. Ai soli fini della presente lettera, la fascia di rispetto è determinata considerando una distanza dal perimetro dei beni sottoposti a tutela di 500 metri - fotovoltaico su coperture, fotovoltaico al suolo, fotovoltaico flottante, </w:t>
            </w:r>
            <w:proofErr w:type="spellStart"/>
            <w:r w:rsidRPr="00696D28">
              <w:rPr>
                <w:rFonts w:asciiTheme="minorHAnsi" w:hAnsiTheme="minorHAnsi"/>
                <w:sz w:val="24"/>
                <w:szCs w:val="24"/>
              </w:rPr>
              <w:t>agrivoltaico</w:t>
            </w:r>
            <w:proofErr w:type="spellEnd"/>
            <w:r w:rsidRPr="00696D28">
              <w:rPr>
                <w:rFonts w:asciiTheme="minorHAnsi" w:hAnsiTheme="minorHAnsi"/>
                <w:sz w:val="24"/>
                <w:szCs w:val="24"/>
              </w:rPr>
              <w:t>;</w:t>
            </w:r>
          </w:p>
        </w:tc>
        <w:tc>
          <w:tcPr>
            <w:tcW w:w="2500" w:type="pct"/>
          </w:tcPr>
          <w:p w14:paraId="01FA5D38"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397F7774" w14:textId="7CD6DC2C" w:rsidTr="00696D28">
        <w:tc>
          <w:tcPr>
            <w:tcW w:w="2500" w:type="pct"/>
          </w:tcPr>
          <w:p w14:paraId="692B343A" w14:textId="77777777" w:rsidR="00696D28" w:rsidRPr="00696D28" w:rsidRDefault="00696D28" w:rsidP="00A317BF">
            <w:pPr>
              <w:pStyle w:val="Paragrafoelenco"/>
              <w:numPr>
                <w:ilvl w:val="0"/>
                <w:numId w:val="16"/>
              </w:numPr>
              <w:spacing w:after="200" w:line="276" w:lineRule="auto"/>
              <w:ind w:left="320" w:hanging="320"/>
              <w:jc w:val="both"/>
              <w:rPr>
                <w:rFonts w:asciiTheme="minorHAnsi" w:hAnsiTheme="minorHAnsi"/>
                <w:sz w:val="24"/>
                <w:szCs w:val="24"/>
                <w:u w:val="single"/>
              </w:rPr>
            </w:pPr>
            <w:r w:rsidRPr="00696D28">
              <w:rPr>
                <w:rFonts w:asciiTheme="minorHAnsi" w:hAnsiTheme="minorHAnsi"/>
                <w:sz w:val="24"/>
                <w:szCs w:val="24"/>
                <w:u w:val="single"/>
              </w:rPr>
              <w:t>Superfici e aree idonee per la fonte eolica:</w:t>
            </w:r>
          </w:p>
        </w:tc>
        <w:tc>
          <w:tcPr>
            <w:tcW w:w="2500" w:type="pct"/>
          </w:tcPr>
          <w:p w14:paraId="59C971FB" w14:textId="77777777" w:rsidR="00696D28" w:rsidRPr="00322CB0" w:rsidRDefault="00696D28" w:rsidP="00322CB0">
            <w:pPr>
              <w:spacing w:after="200" w:line="276" w:lineRule="auto"/>
              <w:jc w:val="both"/>
              <w:rPr>
                <w:rFonts w:asciiTheme="minorHAnsi" w:hAnsiTheme="minorHAnsi"/>
                <w:sz w:val="24"/>
                <w:szCs w:val="24"/>
                <w:u w:val="single"/>
              </w:rPr>
            </w:pPr>
          </w:p>
        </w:tc>
      </w:tr>
      <w:tr w:rsidR="00696D28" w:rsidRPr="00696D28" w14:paraId="77F6CE59" w14:textId="20268D9E" w:rsidTr="00696D28">
        <w:tc>
          <w:tcPr>
            <w:tcW w:w="2500" w:type="pct"/>
          </w:tcPr>
          <w:p w14:paraId="6A166392" w14:textId="77777777" w:rsidR="00696D28" w:rsidRPr="00696D28" w:rsidRDefault="00696D28" w:rsidP="00A317BF">
            <w:pPr>
              <w:pStyle w:val="Paragrafoelenco"/>
              <w:numPr>
                <w:ilvl w:val="1"/>
                <w:numId w:val="16"/>
              </w:numPr>
              <w:spacing w:after="200" w:line="276" w:lineRule="auto"/>
              <w:ind w:left="462" w:hanging="284"/>
              <w:rPr>
                <w:rFonts w:asciiTheme="minorHAnsi" w:hAnsiTheme="minorHAnsi"/>
                <w:sz w:val="24"/>
                <w:szCs w:val="24"/>
              </w:rPr>
            </w:pPr>
            <w:r w:rsidRPr="00696D28">
              <w:rPr>
                <w:rFonts w:asciiTheme="minorHAnsi" w:hAnsiTheme="minorHAnsi"/>
                <w:sz w:val="24"/>
                <w:szCs w:val="24"/>
              </w:rPr>
              <w:t>le aree non ricomprese nel perimetro dei beni sottoposti a tutela ai sensi del D. Lgs. 42/2004, né ricadenti nella fascia di rispetto dei beni sottoposti a tutela ai sensi della Parte II oppure dell’articolo 136 del medesimo decreto legislativo. Ai soli fini della presente lettera, la fascia di rispetto è determinata considerando una distanza dal perimetro dei beni sottoposti a tutela di 3 chilometri per gli impianti eolici.</w:t>
            </w:r>
          </w:p>
        </w:tc>
        <w:tc>
          <w:tcPr>
            <w:tcW w:w="2500" w:type="pct"/>
          </w:tcPr>
          <w:p w14:paraId="02139B4D" w14:textId="77777777" w:rsidR="00696D28" w:rsidRPr="00322CB0" w:rsidRDefault="00696D28" w:rsidP="00322CB0">
            <w:pPr>
              <w:spacing w:after="200" w:line="276" w:lineRule="auto"/>
              <w:rPr>
                <w:rFonts w:asciiTheme="minorHAnsi" w:hAnsiTheme="minorHAnsi"/>
                <w:sz w:val="24"/>
                <w:szCs w:val="24"/>
              </w:rPr>
            </w:pPr>
          </w:p>
        </w:tc>
      </w:tr>
      <w:tr w:rsidR="00696D28" w:rsidRPr="00696D28" w14:paraId="743D8222" w14:textId="45399597" w:rsidTr="00696D28">
        <w:tc>
          <w:tcPr>
            <w:tcW w:w="2500" w:type="pct"/>
          </w:tcPr>
          <w:p w14:paraId="52572544" w14:textId="77777777" w:rsidR="00696D28" w:rsidRPr="00696D28" w:rsidRDefault="00696D28" w:rsidP="00A317BF">
            <w:pPr>
              <w:pStyle w:val="Paragrafoelenco"/>
              <w:numPr>
                <w:ilvl w:val="0"/>
                <w:numId w:val="17"/>
              </w:numPr>
              <w:spacing w:after="200" w:line="276" w:lineRule="auto"/>
              <w:ind w:left="320" w:hanging="320"/>
              <w:jc w:val="both"/>
              <w:rPr>
                <w:rFonts w:asciiTheme="minorHAnsi" w:hAnsiTheme="minorHAnsi"/>
                <w:sz w:val="24"/>
                <w:szCs w:val="24"/>
                <w:u w:val="single"/>
              </w:rPr>
            </w:pPr>
            <w:r w:rsidRPr="00696D28">
              <w:rPr>
                <w:rFonts w:asciiTheme="minorHAnsi" w:hAnsiTheme="minorHAnsi"/>
                <w:sz w:val="24"/>
                <w:szCs w:val="24"/>
                <w:u w:val="single"/>
              </w:rPr>
              <w:t>Superfici e aree idonee per la fonte biogas e biometano:</w:t>
            </w:r>
          </w:p>
        </w:tc>
        <w:tc>
          <w:tcPr>
            <w:tcW w:w="2500" w:type="pct"/>
          </w:tcPr>
          <w:p w14:paraId="4D2C99AC" w14:textId="77777777" w:rsidR="00696D28" w:rsidRPr="00322CB0" w:rsidRDefault="00696D28" w:rsidP="00322CB0">
            <w:pPr>
              <w:spacing w:after="200" w:line="276" w:lineRule="auto"/>
              <w:jc w:val="both"/>
              <w:rPr>
                <w:rFonts w:asciiTheme="minorHAnsi" w:hAnsiTheme="minorHAnsi"/>
                <w:sz w:val="24"/>
                <w:szCs w:val="24"/>
                <w:u w:val="single"/>
              </w:rPr>
            </w:pPr>
          </w:p>
        </w:tc>
      </w:tr>
      <w:tr w:rsidR="00696D28" w:rsidRPr="00696D28" w14:paraId="4A39928A" w14:textId="431047D5" w:rsidTr="00696D28">
        <w:tc>
          <w:tcPr>
            <w:tcW w:w="2500" w:type="pct"/>
          </w:tcPr>
          <w:p w14:paraId="76B649C9" w14:textId="77777777" w:rsidR="00696D28" w:rsidRPr="00696D28" w:rsidRDefault="00696D28" w:rsidP="00A317BF">
            <w:pPr>
              <w:pStyle w:val="Paragrafoelenco"/>
              <w:numPr>
                <w:ilvl w:val="0"/>
                <w:numId w:val="18"/>
              </w:numPr>
              <w:spacing w:after="200" w:line="276" w:lineRule="auto"/>
              <w:jc w:val="both"/>
              <w:rPr>
                <w:rFonts w:asciiTheme="minorHAnsi" w:hAnsiTheme="minorHAnsi"/>
                <w:sz w:val="24"/>
                <w:szCs w:val="24"/>
              </w:rPr>
            </w:pPr>
            <w:r w:rsidRPr="00696D28">
              <w:rPr>
                <w:rFonts w:asciiTheme="minorHAnsi" w:hAnsiTheme="minorHAnsi"/>
                <w:sz w:val="24"/>
                <w:szCs w:val="24"/>
              </w:rPr>
              <w:t>i siti degli impianti di produzione di energia elettrica alimentati da biogas riconvertiti in impianti di produzione di biometano, ai sensi dell’art. 8-bis del D. Lgs. 28/2011, ricadenti entro una distanza di 1,5 chilometri dalla rete di trasporto del gas</w:t>
            </w:r>
            <w:r w:rsidRPr="00696D28">
              <w:rPr>
                <w:rStyle w:val="Rimandonotaapidipagina"/>
                <w:rFonts w:asciiTheme="minorHAnsi" w:hAnsiTheme="minorHAnsi"/>
                <w:sz w:val="24"/>
                <w:szCs w:val="24"/>
              </w:rPr>
              <w:footnoteReference w:id="1"/>
            </w:r>
            <w:r w:rsidRPr="00696D28">
              <w:rPr>
                <w:rFonts w:asciiTheme="minorHAnsi" w:hAnsiTheme="minorHAnsi"/>
                <w:sz w:val="24"/>
                <w:szCs w:val="24"/>
              </w:rPr>
              <w:t>;</w:t>
            </w:r>
          </w:p>
        </w:tc>
        <w:tc>
          <w:tcPr>
            <w:tcW w:w="2500" w:type="pct"/>
          </w:tcPr>
          <w:p w14:paraId="62A082E1" w14:textId="77777777" w:rsidR="00696D28" w:rsidRPr="00322CB0" w:rsidRDefault="00696D28" w:rsidP="00322CB0">
            <w:pPr>
              <w:spacing w:after="200" w:line="276" w:lineRule="auto"/>
              <w:ind w:left="360"/>
              <w:jc w:val="both"/>
              <w:rPr>
                <w:rFonts w:asciiTheme="minorHAnsi" w:hAnsiTheme="minorHAnsi"/>
                <w:sz w:val="24"/>
                <w:szCs w:val="24"/>
              </w:rPr>
            </w:pPr>
          </w:p>
        </w:tc>
      </w:tr>
      <w:tr w:rsidR="00696D28" w:rsidRPr="00696D28" w14:paraId="25F4D44E" w14:textId="42C9DD09" w:rsidTr="00696D28">
        <w:tc>
          <w:tcPr>
            <w:tcW w:w="2500" w:type="pct"/>
          </w:tcPr>
          <w:p w14:paraId="1DB78EFA" w14:textId="77777777" w:rsidR="00696D28" w:rsidRPr="00696D28" w:rsidRDefault="00696D28" w:rsidP="00A317BF">
            <w:pPr>
              <w:pStyle w:val="Paragrafoelenco"/>
              <w:numPr>
                <w:ilvl w:val="0"/>
                <w:numId w:val="18"/>
              </w:numPr>
              <w:spacing w:after="200" w:line="276" w:lineRule="auto"/>
              <w:jc w:val="both"/>
              <w:rPr>
                <w:rFonts w:asciiTheme="minorHAnsi" w:hAnsiTheme="minorHAnsi"/>
                <w:sz w:val="24"/>
                <w:szCs w:val="24"/>
              </w:rPr>
            </w:pPr>
            <w:r w:rsidRPr="00696D28">
              <w:rPr>
                <w:rFonts w:asciiTheme="minorHAnsi" w:hAnsiTheme="minorHAnsi"/>
                <w:sz w:val="24"/>
                <w:szCs w:val="24"/>
              </w:rPr>
              <w:lastRenderedPageBreak/>
              <w:t>le aree classificate agricole non rientranti tra le superfici effettivamente coltivate destinate alle produzioni DOP e IGP riferiti ai settori viti-vinicolo, olivicolo, frutticolo, orticolo, mellifero, racchiuse in un perimetro i cui punti distino non più di 500 metri da zone a destinazione industriale, artigianale e commerciale, compresi i siti di interesse nazionale, nonché le cave e le miniere. Tale categoria si ritiene idonea per i soli impianti che prevedano tra le matrici in ingresso effluenti di allevamento, così come definiti ai sensi dell’articolo 3 lettera c del Decreto ministeriale 25 febbraio 2016 n. 5046;</w:t>
            </w:r>
          </w:p>
        </w:tc>
        <w:tc>
          <w:tcPr>
            <w:tcW w:w="2500" w:type="pct"/>
          </w:tcPr>
          <w:p w14:paraId="5531804E"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4D1C155A" w14:textId="67140899" w:rsidTr="00696D28">
        <w:tc>
          <w:tcPr>
            <w:tcW w:w="2500" w:type="pct"/>
          </w:tcPr>
          <w:p w14:paraId="3C8172C0" w14:textId="77777777" w:rsidR="00696D28" w:rsidRPr="00696D28" w:rsidRDefault="00696D28" w:rsidP="00A317BF">
            <w:pPr>
              <w:pStyle w:val="Paragrafoelenco"/>
              <w:numPr>
                <w:ilvl w:val="0"/>
                <w:numId w:val="18"/>
              </w:numPr>
              <w:spacing w:after="200" w:line="276" w:lineRule="auto"/>
              <w:ind w:left="596" w:hanging="283"/>
              <w:jc w:val="both"/>
              <w:rPr>
                <w:rFonts w:asciiTheme="minorHAnsi" w:hAnsiTheme="minorHAnsi"/>
                <w:sz w:val="24"/>
                <w:szCs w:val="24"/>
              </w:rPr>
            </w:pPr>
            <w:r w:rsidRPr="00696D28">
              <w:rPr>
                <w:rFonts w:asciiTheme="minorHAnsi" w:hAnsiTheme="minorHAnsi"/>
                <w:sz w:val="24"/>
                <w:szCs w:val="24"/>
              </w:rPr>
              <w:t>le aree interne agli impianti industriali e agli stabilimenti, questi ultimi come definiti dall'articolo 268, comma 1, lettera h), del D. Lgs. 152/2006, nonché le aree classificate agricole racchiuse in un perimetro i cui punti distino non più di 500 metri dal medesimo impianto o stabilimento;</w:t>
            </w:r>
          </w:p>
        </w:tc>
        <w:tc>
          <w:tcPr>
            <w:tcW w:w="2500" w:type="pct"/>
          </w:tcPr>
          <w:p w14:paraId="069AD4BD"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4FC48044" w14:textId="7CE01380" w:rsidTr="00696D28">
        <w:tc>
          <w:tcPr>
            <w:tcW w:w="2500" w:type="pct"/>
          </w:tcPr>
          <w:p w14:paraId="496C0339" w14:textId="77777777" w:rsidR="00696D28" w:rsidRPr="00696D28" w:rsidRDefault="00696D28" w:rsidP="00A317BF">
            <w:pPr>
              <w:pStyle w:val="Paragrafoelenco"/>
              <w:numPr>
                <w:ilvl w:val="0"/>
                <w:numId w:val="18"/>
              </w:numPr>
              <w:spacing w:after="200" w:line="276" w:lineRule="auto"/>
              <w:ind w:left="596" w:hanging="283"/>
              <w:jc w:val="both"/>
              <w:rPr>
                <w:rFonts w:asciiTheme="minorHAnsi" w:hAnsiTheme="minorHAnsi"/>
                <w:sz w:val="24"/>
                <w:szCs w:val="24"/>
              </w:rPr>
            </w:pPr>
            <w:r w:rsidRPr="00696D28">
              <w:rPr>
                <w:rFonts w:asciiTheme="minorHAnsi" w:hAnsiTheme="minorHAnsi"/>
                <w:sz w:val="24"/>
                <w:szCs w:val="24"/>
              </w:rPr>
              <w:t>le aree adiacenti alla rete autostradale entro una distanza non superiore a 300 metri, escludendo la fascia di rispetto di ampiezza pari a 60 metri, qualora siano previste opere di edificazione per la realizzazione di nuovi impianti o per modifiche di impianti esistenti;</w:t>
            </w:r>
          </w:p>
        </w:tc>
        <w:tc>
          <w:tcPr>
            <w:tcW w:w="2500" w:type="pct"/>
          </w:tcPr>
          <w:p w14:paraId="3B590239"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1317F8E9" w14:textId="60B70DC3" w:rsidTr="00696D28">
        <w:tc>
          <w:tcPr>
            <w:tcW w:w="2500" w:type="pct"/>
          </w:tcPr>
          <w:p w14:paraId="40799362" w14:textId="77777777" w:rsidR="00696D28" w:rsidRPr="00696D28" w:rsidRDefault="00696D28" w:rsidP="00A317BF">
            <w:pPr>
              <w:pStyle w:val="Paragrafoelenco"/>
              <w:numPr>
                <w:ilvl w:val="0"/>
                <w:numId w:val="18"/>
              </w:numPr>
              <w:spacing w:after="200" w:line="276" w:lineRule="auto"/>
              <w:ind w:left="596" w:hanging="283"/>
              <w:jc w:val="both"/>
              <w:rPr>
                <w:rFonts w:asciiTheme="minorHAnsi" w:hAnsiTheme="minorHAnsi"/>
                <w:sz w:val="24"/>
                <w:szCs w:val="24"/>
              </w:rPr>
            </w:pPr>
            <w:r w:rsidRPr="00696D28">
              <w:rPr>
                <w:rFonts w:asciiTheme="minorHAnsi" w:hAnsiTheme="minorHAnsi"/>
                <w:sz w:val="24"/>
                <w:szCs w:val="24"/>
              </w:rPr>
              <w:t>i siti delle aziende agricole, agrozootecniche anche autorizzate o assoggettate ad autorizzazione ambientale integrata, ai sensi del D. lgs 152/2006;</w:t>
            </w:r>
          </w:p>
        </w:tc>
        <w:tc>
          <w:tcPr>
            <w:tcW w:w="2500" w:type="pct"/>
          </w:tcPr>
          <w:p w14:paraId="6997CF7F"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4687803E" w14:textId="00003D4B" w:rsidTr="00696D28">
        <w:tc>
          <w:tcPr>
            <w:tcW w:w="2500" w:type="pct"/>
          </w:tcPr>
          <w:p w14:paraId="19B4C21D" w14:textId="77777777" w:rsidR="00696D28" w:rsidRPr="00696D28" w:rsidRDefault="00696D28" w:rsidP="00A317BF">
            <w:pPr>
              <w:pStyle w:val="Paragrafoelenco"/>
              <w:numPr>
                <w:ilvl w:val="0"/>
                <w:numId w:val="18"/>
              </w:numPr>
              <w:spacing w:after="200" w:line="276" w:lineRule="auto"/>
              <w:ind w:left="596" w:hanging="283"/>
              <w:jc w:val="both"/>
              <w:rPr>
                <w:rFonts w:asciiTheme="minorHAnsi" w:hAnsiTheme="minorHAnsi"/>
                <w:sz w:val="24"/>
                <w:szCs w:val="24"/>
              </w:rPr>
            </w:pPr>
            <w:r w:rsidRPr="00696D28">
              <w:rPr>
                <w:rFonts w:asciiTheme="minorHAnsi" w:hAnsiTheme="minorHAnsi"/>
                <w:sz w:val="24"/>
                <w:szCs w:val="24"/>
              </w:rPr>
              <w:lastRenderedPageBreak/>
              <w:t>le aree interne agli impianti industriali e agli stabilimenti, come definiti dall'articolo 268, comma 1, lettera h), del D. Lgs. 152/2006,</w:t>
            </w:r>
          </w:p>
        </w:tc>
        <w:tc>
          <w:tcPr>
            <w:tcW w:w="2500" w:type="pct"/>
          </w:tcPr>
          <w:p w14:paraId="243C06EB"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243C22A6" w14:textId="2DE22058" w:rsidTr="00696D28">
        <w:tc>
          <w:tcPr>
            <w:tcW w:w="2500" w:type="pct"/>
          </w:tcPr>
          <w:p w14:paraId="574F9CB8" w14:textId="77777777" w:rsidR="00696D28" w:rsidRPr="00696D28" w:rsidRDefault="00696D28" w:rsidP="00A317BF">
            <w:pPr>
              <w:pStyle w:val="Paragrafoelenco"/>
              <w:numPr>
                <w:ilvl w:val="0"/>
                <w:numId w:val="18"/>
              </w:numPr>
              <w:spacing w:after="200" w:line="276" w:lineRule="auto"/>
              <w:ind w:left="596" w:hanging="283"/>
              <w:jc w:val="both"/>
              <w:rPr>
                <w:rFonts w:asciiTheme="minorHAnsi" w:hAnsiTheme="minorHAnsi"/>
                <w:sz w:val="24"/>
                <w:szCs w:val="24"/>
              </w:rPr>
            </w:pPr>
            <w:r w:rsidRPr="00696D28">
              <w:rPr>
                <w:rFonts w:asciiTheme="minorHAnsi" w:hAnsiTheme="minorHAnsi"/>
                <w:sz w:val="24"/>
                <w:szCs w:val="24"/>
              </w:rPr>
              <w:t xml:space="preserve">le discariche autorizzate o adeguate ai sensi del d.lgs. 36/2003 e le discariche ante-norma o cessate ai sensi dell’art. 17-ter della </w:t>
            </w:r>
            <w:proofErr w:type="spellStart"/>
            <w:r w:rsidRPr="00696D28">
              <w:rPr>
                <w:rFonts w:asciiTheme="minorHAnsi" w:hAnsiTheme="minorHAnsi"/>
                <w:sz w:val="24"/>
                <w:szCs w:val="24"/>
              </w:rPr>
              <w:t>l.r</w:t>
            </w:r>
            <w:proofErr w:type="spellEnd"/>
            <w:r w:rsidRPr="00696D28">
              <w:rPr>
                <w:rFonts w:asciiTheme="minorHAnsi" w:hAnsiTheme="minorHAnsi"/>
                <w:sz w:val="24"/>
                <w:szCs w:val="24"/>
              </w:rPr>
              <w:t>. n. 26/2003 verificando, con nulla osta dell’Autorità competente per la discarica, la compatibilità tecnica;</w:t>
            </w:r>
          </w:p>
        </w:tc>
        <w:tc>
          <w:tcPr>
            <w:tcW w:w="2500" w:type="pct"/>
          </w:tcPr>
          <w:p w14:paraId="56FF8F5B"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476324BC" w14:textId="252B8986" w:rsidTr="00696D28">
        <w:tc>
          <w:tcPr>
            <w:tcW w:w="2500" w:type="pct"/>
          </w:tcPr>
          <w:p w14:paraId="320A120C" w14:textId="77777777" w:rsidR="00696D28" w:rsidRPr="00696D28" w:rsidRDefault="00696D28" w:rsidP="00A317BF">
            <w:pPr>
              <w:pStyle w:val="Paragrafoelenco"/>
              <w:numPr>
                <w:ilvl w:val="0"/>
                <w:numId w:val="18"/>
              </w:numPr>
              <w:spacing w:after="200" w:line="276" w:lineRule="auto"/>
              <w:ind w:left="596" w:hanging="283"/>
              <w:jc w:val="both"/>
              <w:rPr>
                <w:rFonts w:asciiTheme="minorHAnsi" w:hAnsiTheme="minorHAnsi"/>
                <w:sz w:val="24"/>
                <w:szCs w:val="24"/>
              </w:rPr>
            </w:pPr>
            <w:r w:rsidRPr="00696D28">
              <w:rPr>
                <w:rFonts w:asciiTheme="minorHAnsi" w:hAnsiTheme="minorHAnsi"/>
                <w:sz w:val="24"/>
                <w:szCs w:val="24"/>
              </w:rPr>
              <w:t>i siti potenzialmente contaminati, i siti contaminati e da bonificare;</w:t>
            </w:r>
          </w:p>
        </w:tc>
        <w:tc>
          <w:tcPr>
            <w:tcW w:w="2500" w:type="pct"/>
          </w:tcPr>
          <w:p w14:paraId="1247B000"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2A42C2A6" w14:textId="6337AD11" w:rsidTr="00696D28">
        <w:tc>
          <w:tcPr>
            <w:tcW w:w="2500" w:type="pct"/>
          </w:tcPr>
          <w:p w14:paraId="418519FC" w14:textId="77777777" w:rsidR="00696D28" w:rsidRPr="00696D28" w:rsidRDefault="00696D28" w:rsidP="00A317BF">
            <w:pPr>
              <w:pStyle w:val="Paragrafoelenco"/>
              <w:numPr>
                <w:ilvl w:val="0"/>
                <w:numId w:val="18"/>
              </w:numPr>
              <w:spacing w:after="200" w:line="276" w:lineRule="auto"/>
              <w:ind w:left="596" w:hanging="283"/>
              <w:jc w:val="both"/>
              <w:rPr>
                <w:rFonts w:asciiTheme="minorHAnsi" w:hAnsiTheme="minorHAnsi"/>
                <w:sz w:val="24"/>
                <w:szCs w:val="24"/>
              </w:rPr>
            </w:pPr>
            <w:r w:rsidRPr="00696D28">
              <w:rPr>
                <w:rFonts w:asciiTheme="minorHAnsi" w:hAnsiTheme="minorHAnsi"/>
                <w:sz w:val="24"/>
                <w:szCs w:val="24"/>
              </w:rPr>
              <w:t>le aree dismesse individuate dai PGT comunali;</w:t>
            </w:r>
          </w:p>
        </w:tc>
        <w:tc>
          <w:tcPr>
            <w:tcW w:w="2500" w:type="pct"/>
          </w:tcPr>
          <w:p w14:paraId="69F74070"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427275E1" w14:textId="4D6FEBAB" w:rsidTr="00696D28">
        <w:tc>
          <w:tcPr>
            <w:tcW w:w="2500" w:type="pct"/>
          </w:tcPr>
          <w:p w14:paraId="5E321592" w14:textId="77777777" w:rsidR="00696D28" w:rsidRPr="00696D28" w:rsidRDefault="00696D28" w:rsidP="00A317BF">
            <w:pPr>
              <w:pStyle w:val="Paragrafoelenco"/>
              <w:numPr>
                <w:ilvl w:val="0"/>
                <w:numId w:val="18"/>
              </w:numPr>
              <w:spacing w:after="200" w:line="276" w:lineRule="auto"/>
              <w:ind w:left="596" w:hanging="283"/>
              <w:jc w:val="both"/>
              <w:rPr>
                <w:rFonts w:asciiTheme="minorHAnsi" w:hAnsiTheme="minorHAnsi"/>
                <w:sz w:val="24"/>
                <w:szCs w:val="24"/>
              </w:rPr>
            </w:pPr>
            <w:r w:rsidRPr="00696D28">
              <w:rPr>
                <w:rFonts w:asciiTheme="minorHAnsi" w:hAnsiTheme="minorHAnsi"/>
                <w:sz w:val="24"/>
                <w:szCs w:val="24"/>
              </w:rPr>
              <w:t>i siti degli impianti di trattamento delle acque reflue;</w:t>
            </w:r>
          </w:p>
        </w:tc>
        <w:tc>
          <w:tcPr>
            <w:tcW w:w="2500" w:type="pct"/>
          </w:tcPr>
          <w:p w14:paraId="59B0D6F0"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5AC45598" w14:textId="70328A87" w:rsidTr="00696D28">
        <w:tc>
          <w:tcPr>
            <w:tcW w:w="2500" w:type="pct"/>
          </w:tcPr>
          <w:p w14:paraId="3C210B89" w14:textId="77777777" w:rsidR="00696D28" w:rsidRPr="00696D28" w:rsidRDefault="00696D28" w:rsidP="00A317BF">
            <w:pPr>
              <w:pStyle w:val="Paragrafoelenco"/>
              <w:numPr>
                <w:ilvl w:val="0"/>
                <w:numId w:val="18"/>
              </w:numPr>
              <w:spacing w:after="200" w:line="276" w:lineRule="auto"/>
              <w:ind w:left="596" w:hanging="283"/>
              <w:jc w:val="both"/>
              <w:rPr>
                <w:rFonts w:asciiTheme="minorHAnsi" w:hAnsiTheme="minorHAnsi"/>
                <w:sz w:val="24"/>
                <w:szCs w:val="24"/>
              </w:rPr>
            </w:pPr>
            <w:r w:rsidRPr="00696D28">
              <w:rPr>
                <w:rFonts w:asciiTheme="minorHAnsi" w:hAnsiTheme="minorHAnsi"/>
                <w:sz w:val="24"/>
                <w:szCs w:val="24"/>
              </w:rPr>
              <w:t>i siti di trattamento dei rifiuti, in particolare putrescibili, nel rispetto dei criteri localizzativi degli impianti di trattamento rifiuti.</w:t>
            </w:r>
          </w:p>
        </w:tc>
        <w:tc>
          <w:tcPr>
            <w:tcW w:w="2500" w:type="pct"/>
          </w:tcPr>
          <w:p w14:paraId="5DF958F9" w14:textId="77777777" w:rsidR="00696D28" w:rsidRPr="00322CB0" w:rsidRDefault="00696D28" w:rsidP="00322CB0">
            <w:pPr>
              <w:spacing w:after="200" w:line="276" w:lineRule="auto"/>
              <w:ind w:left="313"/>
              <w:jc w:val="both"/>
              <w:rPr>
                <w:rFonts w:asciiTheme="minorHAnsi" w:hAnsiTheme="minorHAnsi"/>
                <w:sz w:val="24"/>
                <w:szCs w:val="24"/>
              </w:rPr>
            </w:pPr>
          </w:p>
        </w:tc>
      </w:tr>
      <w:tr w:rsidR="00696D28" w:rsidRPr="00696D28" w14:paraId="634CC56E" w14:textId="41D73315" w:rsidTr="00696D28">
        <w:tc>
          <w:tcPr>
            <w:tcW w:w="2500" w:type="pct"/>
          </w:tcPr>
          <w:p w14:paraId="3914855B" w14:textId="77777777" w:rsidR="00696D28" w:rsidRPr="00696D28" w:rsidRDefault="00696D28" w:rsidP="00A317BF">
            <w:pPr>
              <w:pStyle w:val="Paragrafoelenco"/>
              <w:numPr>
                <w:ilvl w:val="0"/>
                <w:numId w:val="17"/>
              </w:numPr>
              <w:spacing w:after="200" w:line="276" w:lineRule="auto"/>
              <w:ind w:left="313" w:hanging="284"/>
              <w:jc w:val="both"/>
              <w:rPr>
                <w:rFonts w:asciiTheme="minorHAnsi" w:hAnsiTheme="minorHAnsi"/>
                <w:sz w:val="24"/>
                <w:szCs w:val="24"/>
                <w:u w:val="single"/>
              </w:rPr>
            </w:pPr>
            <w:r w:rsidRPr="00696D28">
              <w:rPr>
                <w:rFonts w:asciiTheme="minorHAnsi" w:hAnsiTheme="minorHAnsi"/>
                <w:sz w:val="24"/>
                <w:szCs w:val="24"/>
                <w:u w:val="single"/>
              </w:rPr>
              <w:t>Superfici e aree idonee per la fonte biomasse solide</w:t>
            </w:r>
          </w:p>
        </w:tc>
        <w:tc>
          <w:tcPr>
            <w:tcW w:w="2500" w:type="pct"/>
          </w:tcPr>
          <w:p w14:paraId="77CF724F" w14:textId="77777777" w:rsidR="00696D28" w:rsidRPr="00322CB0" w:rsidRDefault="00696D28" w:rsidP="00322CB0">
            <w:pPr>
              <w:spacing w:after="200" w:line="276" w:lineRule="auto"/>
              <w:ind w:left="29"/>
              <w:jc w:val="both"/>
              <w:rPr>
                <w:rFonts w:asciiTheme="minorHAnsi" w:hAnsiTheme="minorHAnsi"/>
                <w:sz w:val="24"/>
                <w:szCs w:val="24"/>
                <w:u w:val="single"/>
              </w:rPr>
            </w:pPr>
          </w:p>
        </w:tc>
      </w:tr>
      <w:tr w:rsidR="00696D28" w:rsidRPr="00696D28" w14:paraId="70AA46D0" w14:textId="6C613E0D" w:rsidTr="00696D28">
        <w:tc>
          <w:tcPr>
            <w:tcW w:w="2500" w:type="pct"/>
          </w:tcPr>
          <w:p w14:paraId="133EF0D8" w14:textId="77777777" w:rsidR="00696D28" w:rsidRPr="00696D28" w:rsidRDefault="00696D28" w:rsidP="00A317BF">
            <w:pPr>
              <w:pStyle w:val="Paragrafoelenco"/>
              <w:numPr>
                <w:ilvl w:val="0"/>
                <w:numId w:val="19"/>
              </w:numPr>
              <w:spacing w:after="200" w:line="276" w:lineRule="auto"/>
              <w:ind w:left="624" w:hanging="284"/>
              <w:jc w:val="both"/>
              <w:rPr>
                <w:rFonts w:asciiTheme="minorHAnsi" w:hAnsiTheme="minorHAnsi"/>
                <w:sz w:val="24"/>
                <w:szCs w:val="24"/>
              </w:rPr>
            </w:pPr>
            <w:r w:rsidRPr="00696D28">
              <w:rPr>
                <w:rFonts w:asciiTheme="minorHAnsi" w:hAnsiTheme="minorHAnsi"/>
                <w:sz w:val="24"/>
                <w:szCs w:val="24"/>
              </w:rPr>
              <w:t>le aree interne agli impianti industriali e agli stabilimenti, come definiti dall'articolo 268, comma 1, lettera h), del D. Lgs. 152/2006;</w:t>
            </w:r>
          </w:p>
        </w:tc>
        <w:tc>
          <w:tcPr>
            <w:tcW w:w="2500" w:type="pct"/>
          </w:tcPr>
          <w:p w14:paraId="69967494" w14:textId="77777777" w:rsidR="00696D28" w:rsidRPr="00322CB0" w:rsidRDefault="00696D28" w:rsidP="00322CB0">
            <w:pPr>
              <w:spacing w:after="200" w:line="276" w:lineRule="auto"/>
              <w:ind w:left="340"/>
              <w:jc w:val="both"/>
              <w:rPr>
                <w:rFonts w:asciiTheme="minorHAnsi" w:hAnsiTheme="minorHAnsi"/>
                <w:sz w:val="24"/>
                <w:szCs w:val="24"/>
              </w:rPr>
            </w:pPr>
          </w:p>
        </w:tc>
      </w:tr>
      <w:tr w:rsidR="00696D28" w:rsidRPr="00696D28" w14:paraId="6BA0E0D9" w14:textId="4C033558" w:rsidTr="00696D28">
        <w:tc>
          <w:tcPr>
            <w:tcW w:w="2500" w:type="pct"/>
          </w:tcPr>
          <w:p w14:paraId="4F6B8A2E" w14:textId="77777777" w:rsidR="00696D28" w:rsidRPr="00696D28" w:rsidRDefault="00696D28" w:rsidP="00A317BF">
            <w:pPr>
              <w:pStyle w:val="Paragrafoelenco"/>
              <w:numPr>
                <w:ilvl w:val="0"/>
                <w:numId w:val="18"/>
              </w:numPr>
              <w:spacing w:after="200" w:line="276" w:lineRule="auto"/>
              <w:ind w:left="596" w:hanging="283"/>
              <w:jc w:val="both"/>
              <w:rPr>
                <w:rFonts w:asciiTheme="minorHAnsi" w:hAnsiTheme="minorHAnsi"/>
                <w:sz w:val="24"/>
                <w:szCs w:val="24"/>
              </w:rPr>
            </w:pPr>
            <w:r w:rsidRPr="00696D28">
              <w:rPr>
                <w:rFonts w:asciiTheme="minorHAnsi" w:hAnsiTheme="minorHAnsi"/>
                <w:sz w:val="24"/>
                <w:szCs w:val="24"/>
              </w:rPr>
              <w:t>le aree classificate industriali, commerciali, a servizi adiacenti ai territori coperti da boschi con Piani di assestamento forestale approvato, ai sensi della L.R. 31/2008.</w:t>
            </w:r>
          </w:p>
        </w:tc>
        <w:tc>
          <w:tcPr>
            <w:tcW w:w="2500" w:type="pct"/>
          </w:tcPr>
          <w:p w14:paraId="32225A2B"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20399C4C" w14:textId="6AE9FE5B" w:rsidTr="00696D28">
        <w:tc>
          <w:tcPr>
            <w:tcW w:w="2500" w:type="pct"/>
          </w:tcPr>
          <w:p w14:paraId="15DED261" w14:textId="77777777" w:rsidR="00696D28" w:rsidRPr="00696D28" w:rsidRDefault="00696D28" w:rsidP="00A317BF">
            <w:pPr>
              <w:pStyle w:val="Paragrafoelenco"/>
              <w:numPr>
                <w:ilvl w:val="0"/>
                <w:numId w:val="19"/>
              </w:numPr>
              <w:spacing w:after="200" w:line="276" w:lineRule="auto"/>
              <w:ind w:left="599" w:hanging="283"/>
              <w:jc w:val="both"/>
              <w:rPr>
                <w:rFonts w:asciiTheme="minorHAnsi" w:hAnsiTheme="minorHAnsi"/>
                <w:sz w:val="24"/>
                <w:szCs w:val="24"/>
              </w:rPr>
            </w:pPr>
            <w:r w:rsidRPr="00696D28">
              <w:rPr>
                <w:rFonts w:asciiTheme="minorHAnsi" w:hAnsiTheme="minorHAnsi"/>
                <w:sz w:val="24"/>
                <w:szCs w:val="24"/>
              </w:rPr>
              <w:lastRenderedPageBreak/>
              <w:t>i territori interessati da arboricoltura da legno;</w:t>
            </w:r>
          </w:p>
        </w:tc>
        <w:tc>
          <w:tcPr>
            <w:tcW w:w="2500" w:type="pct"/>
          </w:tcPr>
          <w:p w14:paraId="2DCFE7FD"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40348E12" w14:textId="1C03A35D" w:rsidTr="00696D28">
        <w:tc>
          <w:tcPr>
            <w:tcW w:w="2500" w:type="pct"/>
          </w:tcPr>
          <w:p w14:paraId="5D2DC6E8" w14:textId="77777777" w:rsidR="00696D28" w:rsidRPr="00696D28" w:rsidRDefault="00696D28" w:rsidP="00A317BF">
            <w:pPr>
              <w:pStyle w:val="Paragrafoelenco"/>
              <w:numPr>
                <w:ilvl w:val="0"/>
                <w:numId w:val="17"/>
              </w:numPr>
              <w:spacing w:after="200" w:line="276" w:lineRule="auto"/>
              <w:ind w:left="313" w:hanging="284"/>
              <w:jc w:val="both"/>
              <w:rPr>
                <w:rFonts w:asciiTheme="minorHAnsi" w:hAnsiTheme="minorHAnsi"/>
                <w:sz w:val="24"/>
                <w:szCs w:val="24"/>
                <w:u w:val="single"/>
              </w:rPr>
            </w:pPr>
            <w:r w:rsidRPr="00696D28">
              <w:rPr>
                <w:rFonts w:asciiTheme="minorHAnsi" w:hAnsiTheme="minorHAnsi"/>
                <w:sz w:val="24"/>
                <w:szCs w:val="24"/>
                <w:u w:val="single"/>
              </w:rPr>
              <w:t>Superfici e aree idonee per la fonte idroelettrica</w:t>
            </w:r>
          </w:p>
        </w:tc>
        <w:tc>
          <w:tcPr>
            <w:tcW w:w="2500" w:type="pct"/>
          </w:tcPr>
          <w:p w14:paraId="529EE114" w14:textId="77777777" w:rsidR="00696D28" w:rsidRPr="00322CB0" w:rsidRDefault="00696D28" w:rsidP="00322CB0">
            <w:pPr>
              <w:spacing w:after="200" w:line="276" w:lineRule="auto"/>
              <w:ind w:left="29"/>
              <w:jc w:val="both"/>
              <w:rPr>
                <w:rFonts w:asciiTheme="minorHAnsi" w:hAnsiTheme="minorHAnsi"/>
                <w:sz w:val="24"/>
                <w:szCs w:val="24"/>
                <w:u w:val="single"/>
              </w:rPr>
            </w:pPr>
          </w:p>
        </w:tc>
      </w:tr>
      <w:tr w:rsidR="00696D28" w:rsidRPr="00696D28" w14:paraId="63D1355E" w14:textId="342DA23E" w:rsidTr="00696D28">
        <w:tc>
          <w:tcPr>
            <w:tcW w:w="2500" w:type="pct"/>
          </w:tcPr>
          <w:p w14:paraId="3B3B0F92" w14:textId="77777777" w:rsidR="00696D28" w:rsidRPr="00696D28" w:rsidRDefault="00696D28" w:rsidP="00A317BF">
            <w:pPr>
              <w:pStyle w:val="Paragrafoelenco"/>
              <w:numPr>
                <w:ilvl w:val="0"/>
                <w:numId w:val="20"/>
              </w:numPr>
              <w:spacing w:after="200" w:line="276" w:lineRule="auto"/>
              <w:ind w:left="624" w:hanging="284"/>
              <w:jc w:val="both"/>
              <w:rPr>
                <w:rFonts w:asciiTheme="minorHAnsi" w:hAnsiTheme="minorHAnsi"/>
                <w:sz w:val="24"/>
                <w:szCs w:val="24"/>
              </w:rPr>
            </w:pPr>
            <w:r w:rsidRPr="00696D28">
              <w:rPr>
                <w:rFonts w:asciiTheme="minorHAnsi" w:hAnsiTheme="minorHAnsi"/>
                <w:sz w:val="24"/>
                <w:szCs w:val="24"/>
              </w:rPr>
              <w:t xml:space="preserve">i fiumi, i torrenti, i corsi d’acqua pubblici, i canali demaniali d’irrigazione e gli altri canali di proprietà pubblica ivi comprese le condotte afferenti </w:t>
            </w:r>
            <w:proofErr w:type="gramStart"/>
            <w:r w:rsidRPr="00696D28">
              <w:rPr>
                <w:rFonts w:asciiTheme="minorHAnsi" w:hAnsiTheme="minorHAnsi"/>
                <w:sz w:val="24"/>
                <w:szCs w:val="24"/>
              </w:rPr>
              <w:t>il</w:t>
            </w:r>
            <w:proofErr w:type="gramEnd"/>
            <w:r w:rsidRPr="00696D28">
              <w:rPr>
                <w:rFonts w:asciiTheme="minorHAnsi" w:hAnsiTheme="minorHAnsi"/>
                <w:sz w:val="24"/>
                <w:szCs w:val="24"/>
              </w:rPr>
              <w:t xml:space="preserve"> servizio idrico integrato;</w:t>
            </w:r>
          </w:p>
        </w:tc>
        <w:tc>
          <w:tcPr>
            <w:tcW w:w="2500" w:type="pct"/>
          </w:tcPr>
          <w:p w14:paraId="55B60687"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57510C99" w14:textId="4325595C" w:rsidTr="00696D28">
        <w:tc>
          <w:tcPr>
            <w:tcW w:w="2500" w:type="pct"/>
          </w:tcPr>
          <w:p w14:paraId="6BF9557A" w14:textId="77777777" w:rsidR="00696D28" w:rsidRPr="00696D28" w:rsidRDefault="00696D28" w:rsidP="00A317BF">
            <w:pPr>
              <w:pStyle w:val="Paragrafoelenco"/>
              <w:numPr>
                <w:ilvl w:val="0"/>
                <w:numId w:val="20"/>
              </w:numPr>
              <w:spacing w:after="200" w:line="276" w:lineRule="auto"/>
              <w:ind w:left="624" w:hanging="284"/>
              <w:jc w:val="both"/>
              <w:rPr>
                <w:rFonts w:asciiTheme="minorHAnsi" w:hAnsiTheme="minorHAnsi"/>
                <w:sz w:val="24"/>
                <w:szCs w:val="24"/>
              </w:rPr>
            </w:pPr>
            <w:r w:rsidRPr="00696D28">
              <w:rPr>
                <w:rFonts w:asciiTheme="minorHAnsi" w:hAnsiTheme="minorHAnsi"/>
                <w:sz w:val="24"/>
                <w:szCs w:val="24"/>
              </w:rPr>
              <w:t>i siti degli impianti di produzione di energia idroelettrica classificati grandi derivazioni, ai sensi dell’art. 6 del R.D. 1775/1933 nell’ambito delle procedure di riassegnazione delle concessioni ai sensi dell’art. 12 del d.lgs. 79/1999, e nei quali è possibile effettuare interventi di modifica, anche sostanziale, di rifacimento, di potenziamento, di integrale ricostruzione, alle condizioni indicate nell’articolo 5, comma 3, lettera a.</w:t>
            </w:r>
          </w:p>
        </w:tc>
        <w:tc>
          <w:tcPr>
            <w:tcW w:w="2500" w:type="pct"/>
          </w:tcPr>
          <w:p w14:paraId="0AE202FB"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23074B29" w14:textId="1B990185" w:rsidTr="00696D28">
        <w:tc>
          <w:tcPr>
            <w:tcW w:w="2500" w:type="pct"/>
          </w:tcPr>
          <w:p w14:paraId="5B5D3D58" w14:textId="77777777" w:rsidR="00696D28" w:rsidRPr="00696D28" w:rsidRDefault="00696D28" w:rsidP="00A317BF">
            <w:pPr>
              <w:pStyle w:val="Paragrafoelenco"/>
              <w:numPr>
                <w:ilvl w:val="0"/>
                <w:numId w:val="17"/>
              </w:numPr>
              <w:spacing w:after="200" w:line="276" w:lineRule="auto"/>
              <w:ind w:left="313" w:hanging="284"/>
              <w:jc w:val="both"/>
              <w:rPr>
                <w:rFonts w:asciiTheme="minorHAnsi" w:hAnsiTheme="minorHAnsi"/>
                <w:sz w:val="24"/>
                <w:szCs w:val="24"/>
              </w:rPr>
            </w:pPr>
            <w:r w:rsidRPr="00696D28">
              <w:rPr>
                <w:rFonts w:asciiTheme="minorHAnsi" w:hAnsiTheme="minorHAnsi"/>
                <w:sz w:val="24"/>
                <w:szCs w:val="24"/>
              </w:rPr>
              <w:t>Nelle aree idonee il rilascio del titolo abilitativo e le eventuali valutazioni ambientali sono svolti secondo le norme specifiche indicate nella normativa statale vigente.</w:t>
            </w:r>
          </w:p>
        </w:tc>
        <w:tc>
          <w:tcPr>
            <w:tcW w:w="2500" w:type="pct"/>
          </w:tcPr>
          <w:p w14:paraId="57DC16D8"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19D3B2DF" w14:textId="316539E8" w:rsidTr="00696D28">
        <w:tc>
          <w:tcPr>
            <w:tcW w:w="2500" w:type="pct"/>
          </w:tcPr>
          <w:p w14:paraId="69DB36D7" w14:textId="77777777" w:rsidR="00696D28" w:rsidRPr="00696D28" w:rsidRDefault="00696D28" w:rsidP="00A317BF">
            <w:pPr>
              <w:pStyle w:val="Paragrafoelenco"/>
              <w:numPr>
                <w:ilvl w:val="0"/>
                <w:numId w:val="17"/>
              </w:numPr>
              <w:spacing w:after="200" w:line="276" w:lineRule="auto"/>
              <w:ind w:left="313" w:hanging="284"/>
              <w:jc w:val="both"/>
              <w:rPr>
                <w:rFonts w:asciiTheme="minorHAnsi" w:hAnsiTheme="minorHAnsi"/>
                <w:sz w:val="24"/>
                <w:szCs w:val="24"/>
              </w:rPr>
            </w:pPr>
            <w:r w:rsidRPr="00696D28">
              <w:rPr>
                <w:rFonts w:asciiTheme="minorHAnsi" w:hAnsiTheme="minorHAnsi"/>
                <w:sz w:val="24"/>
                <w:szCs w:val="24"/>
              </w:rPr>
              <w:t>Nelle aree idonee non soggette a vincolo paesaggistico, ai sensi dell’art. 136, comma 1, e dell’art. 142 del D. Lgs. 42/2004, non si applica l’art. 35 del Piano Paesaggistico regionale.</w:t>
            </w:r>
          </w:p>
        </w:tc>
        <w:tc>
          <w:tcPr>
            <w:tcW w:w="2500" w:type="pct"/>
          </w:tcPr>
          <w:p w14:paraId="136B402B" w14:textId="77777777" w:rsidR="00696D28" w:rsidRPr="00322CB0" w:rsidRDefault="00696D28" w:rsidP="00322CB0">
            <w:pPr>
              <w:spacing w:after="200" w:line="276" w:lineRule="auto"/>
              <w:ind w:left="29"/>
              <w:jc w:val="both"/>
              <w:rPr>
                <w:rFonts w:asciiTheme="minorHAnsi" w:hAnsiTheme="minorHAnsi"/>
                <w:sz w:val="24"/>
                <w:szCs w:val="24"/>
              </w:rPr>
            </w:pPr>
          </w:p>
        </w:tc>
      </w:tr>
      <w:tr w:rsidR="00696D28" w:rsidRPr="00696D28" w14:paraId="32377D9E" w14:textId="14895EA8" w:rsidTr="00696D28">
        <w:tc>
          <w:tcPr>
            <w:tcW w:w="2500" w:type="pct"/>
          </w:tcPr>
          <w:p w14:paraId="6981C38A" w14:textId="77777777" w:rsidR="00696D28" w:rsidRPr="00696D28" w:rsidRDefault="00696D28" w:rsidP="00A317BF">
            <w:pPr>
              <w:jc w:val="both"/>
              <w:rPr>
                <w:rFonts w:asciiTheme="minorHAnsi" w:hAnsiTheme="minorHAnsi"/>
                <w:b/>
                <w:sz w:val="24"/>
                <w:szCs w:val="24"/>
              </w:rPr>
            </w:pPr>
            <w:r w:rsidRPr="00696D28">
              <w:rPr>
                <w:rFonts w:asciiTheme="minorHAnsi" w:hAnsiTheme="minorHAnsi"/>
                <w:b/>
                <w:sz w:val="24"/>
                <w:szCs w:val="24"/>
              </w:rPr>
              <w:t>Art. 7 Classificazione delle superfici e aree non idonee</w:t>
            </w:r>
          </w:p>
        </w:tc>
        <w:tc>
          <w:tcPr>
            <w:tcW w:w="2500" w:type="pct"/>
          </w:tcPr>
          <w:p w14:paraId="75010CDF" w14:textId="77777777" w:rsidR="00696D28" w:rsidRPr="00696D28" w:rsidRDefault="00696D28" w:rsidP="00A317BF">
            <w:pPr>
              <w:jc w:val="both"/>
              <w:rPr>
                <w:rFonts w:asciiTheme="minorHAnsi" w:hAnsiTheme="minorHAnsi"/>
                <w:b/>
                <w:sz w:val="24"/>
                <w:szCs w:val="24"/>
              </w:rPr>
            </w:pPr>
          </w:p>
        </w:tc>
      </w:tr>
      <w:tr w:rsidR="00696D28" w:rsidRPr="00696D28" w14:paraId="0BB220AA" w14:textId="4457CFE8" w:rsidTr="00696D28">
        <w:tc>
          <w:tcPr>
            <w:tcW w:w="2500" w:type="pct"/>
          </w:tcPr>
          <w:p w14:paraId="15DAF33D" w14:textId="77777777" w:rsidR="00696D28" w:rsidRPr="00696D28" w:rsidRDefault="00696D28" w:rsidP="00A317BF">
            <w:pPr>
              <w:pStyle w:val="Paragrafoelenco"/>
              <w:numPr>
                <w:ilvl w:val="0"/>
                <w:numId w:val="31"/>
              </w:numPr>
            </w:pPr>
            <w:bookmarkStart w:id="0" w:name="_Hlk178929607"/>
            <w:r w:rsidRPr="00696D28">
              <w:rPr>
                <w:rFonts w:asciiTheme="minorHAnsi" w:hAnsiTheme="minorHAnsi"/>
                <w:sz w:val="24"/>
                <w:szCs w:val="24"/>
              </w:rPr>
              <w:t xml:space="preserve">Le superfici e aree non idonee sono territori che presentano obiettivi di protezione della tutela dell'ambiente, del paesaggio, del patrimonio storico e artistico, delle tradizioni agroalimentari locali, della biodiversità non compatibili con l'insediamento di specifiche tipologie e/o dimensioni di impianti. </w:t>
            </w:r>
          </w:p>
        </w:tc>
        <w:tc>
          <w:tcPr>
            <w:tcW w:w="2500" w:type="pct"/>
          </w:tcPr>
          <w:p w14:paraId="77CFCBB9" w14:textId="77777777" w:rsidR="00696D28" w:rsidRPr="00322CB0" w:rsidRDefault="00696D28" w:rsidP="00322CB0">
            <w:pPr>
              <w:rPr>
                <w:rFonts w:asciiTheme="minorHAnsi" w:hAnsiTheme="minorHAnsi"/>
                <w:sz w:val="24"/>
                <w:szCs w:val="24"/>
              </w:rPr>
            </w:pPr>
          </w:p>
        </w:tc>
      </w:tr>
      <w:tr w:rsidR="00696D28" w:rsidRPr="00696D28" w14:paraId="31571CE7" w14:textId="79C76D3E" w:rsidTr="00696D28">
        <w:tc>
          <w:tcPr>
            <w:tcW w:w="2500" w:type="pct"/>
          </w:tcPr>
          <w:p w14:paraId="4B9BC165" w14:textId="77777777" w:rsidR="00696D28" w:rsidRPr="00696D28" w:rsidRDefault="00696D28" w:rsidP="00A317BF">
            <w:pPr>
              <w:pStyle w:val="Paragrafoelenco"/>
              <w:numPr>
                <w:ilvl w:val="0"/>
                <w:numId w:val="31"/>
              </w:numPr>
              <w:jc w:val="both"/>
              <w:rPr>
                <w:rFonts w:asciiTheme="minorHAnsi" w:hAnsiTheme="minorHAnsi"/>
                <w:sz w:val="24"/>
                <w:szCs w:val="24"/>
              </w:rPr>
            </w:pPr>
            <w:r w:rsidRPr="00696D28">
              <w:rPr>
                <w:rFonts w:asciiTheme="minorHAnsi" w:hAnsiTheme="minorHAnsi"/>
                <w:sz w:val="24"/>
                <w:szCs w:val="24"/>
              </w:rPr>
              <w:lastRenderedPageBreak/>
              <w:t>In tali aree sono considerati realizzabili gli impianti fotovoltaici da installare su edifici o strutture edificate, ad eccezione degli edifici tutelati ai sensi della parte II del D. Lgs 42/2004.</w:t>
            </w:r>
          </w:p>
        </w:tc>
        <w:tc>
          <w:tcPr>
            <w:tcW w:w="2500" w:type="pct"/>
          </w:tcPr>
          <w:p w14:paraId="72B6D93C" w14:textId="77777777" w:rsidR="00696D28" w:rsidRPr="00322CB0" w:rsidRDefault="00696D28" w:rsidP="00322CB0">
            <w:pPr>
              <w:jc w:val="both"/>
              <w:rPr>
                <w:rFonts w:asciiTheme="minorHAnsi" w:hAnsiTheme="minorHAnsi"/>
                <w:sz w:val="24"/>
                <w:szCs w:val="24"/>
              </w:rPr>
            </w:pPr>
          </w:p>
        </w:tc>
      </w:tr>
      <w:bookmarkEnd w:id="0"/>
      <w:tr w:rsidR="00696D28" w:rsidRPr="00696D28" w14:paraId="77E99DBB" w14:textId="6BB8BA6C" w:rsidTr="00696D28">
        <w:tc>
          <w:tcPr>
            <w:tcW w:w="2500" w:type="pct"/>
          </w:tcPr>
          <w:p w14:paraId="75FCA241" w14:textId="77777777" w:rsidR="00696D28" w:rsidRPr="00696D28" w:rsidRDefault="00696D28" w:rsidP="00A317BF">
            <w:pPr>
              <w:pStyle w:val="Paragrafoelenco"/>
              <w:numPr>
                <w:ilvl w:val="0"/>
                <w:numId w:val="31"/>
              </w:numPr>
              <w:spacing w:line="276" w:lineRule="auto"/>
              <w:ind w:left="357" w:hanging="357"/>
              <w:jc w:val="both"/>
              <w:rPr>
                <w:rFonts w:asciiTheme="minorHAnsi" w:hAnsiTheme="minorHAnsi"/>
                <w:sz w:val="24"/>
                <w:szCs w:val="24"/>
              </w:rPr>
            </w:pPr>
            <w:r w:rsidRPr="00696D28">
              <w:rPr>
                <w:rFonts w:asciiTheme="minorHAnsi" w:hAnsiTheme="minorHAnsi"/>
                <w:sz w:val="24"/>
                <w:szCs w:val="24"/>
              </w:rPr>
              <w:t xml:space="preserve">Sono aree non idonee </w:t>
            </w:r>
            <w:r w:rsidRPr="00696D28">
              <w:rPr>
                <w:rFonts w:asciiTheme="minorHAnsi" w:hAnsiTheme="minorHAnsi"/>
                <w:sz w:val="24"/>
                <w:szCs w:val="24"/>
                <w:highlight w:val="yellow"/>
              </w:rPr>
              <w:t>(differenziazione per tipologia di fonte da sviluppare):</w:t>
            </w:r>
          </w:p>
        </w:tc>
        <w:tc>
          <w:tcPr>
            <w:tcW w:w="2500" w:type="pct"/>
          </w:tcPr>
          <w:p w14:paraId="28D4A32B" w14:textId="77777777" w:rsidR="00696D28" w:rsidRPr="00322CB0" w:rsidRDefault="00696D28" w:rsidP="00322CB0">
            <w:pPr>
              <w:spacing w:line="276" w:lineRule="auto"/>
              <w:jc w:val="both"/>
              <w:rPr>
                <w:rFonts w:asciiTheme="minorHAnsi" w:hAnsiTheme="minorHAnsi"/>
                <w:sz w:val="24"/>
                <w:szCs w:val="24"/>
              </w:rPr>
            </w:pPr>
          </w:p>
        </w:tc>
      </w:tr>
      <w:tr w:rsidR="00696D28" w:rsidRPr="00696D28" w14:paraId="53017A26" w14:textId="00846BB0" w:rsidTr="00696D28">
        <w:tc>
          <w:tcPr>
            <w:tcW w:w="2500" w:type="pct"/>
          </w:tcPr>
          <w:p w14:paraId="58551488" w14:textId="77777777" w:rsidR="00696D28" w:rsidRPr="00696D28" w:rsidRDefault="00696D28" w:rsidP="00A317BF">
            <w:pPr>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i siti inseriti nella lista del Patrimonio Unesco;</w:t>
            </w:r>
          </w:p>
        </w:tc>
        <w:tc>
          <w:tcPr>
            <w:tcW w:w="2500" w:type="pct"/>
          </w:tcPr>
          <w:p w14:paraId="7323E1DA" w14:textId="77777777" w:rsidR="00696D28" w:rsidRPr="00696D28" w:rsidRDefault="00696D28" w:rsidP="00322CB0">
            <w:pPr>
              <w:spacing w:line="276" w:lineRule="auto"/>
              <w:ind w:left="720"/>
              <w:jc w:val="both"/>
              <w:rPr>
                <w:rFonts w:asciiTheme="minorHAnsi" w:hAnsiTheme="minorHAnsi"/>
                <w:sz w:val="24"/>
                <w:szCs w:val="24"/>
              </w:rPr>
            </w:pPr>
          </w:p>
        </w:tc>
      </w:tr>
      <w:tr w:rsidR="00696D28" w:rsidRPr="00696D28" w14:paraId="7D3FD7C5" w14:textId="429C5AC3" w:rsidTr="00696D28">
        <w:tc>
          <w:tcPr>
            <w:tcW w:w="2500" w:type="pct"/>
          </w:tcPr>
          <w:p w14:paraId="7AB7EE59" w14:textId="77777777" w:rsidR="00696D28" w:rsidRPr="00696D28" w:rsidRDefault="00696D28" w:rsidP="00A317BF">
            <w:pPr>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 xml:space="preserve">gli edifici tutelati, ai sensi della parte II del D. Lgs 42/2004, </w:t>
            </w:r>
          </w:p>
        </w:tc>
        <w:tc>
          <w:tcPr>
            <w:tcW w:w="2500" w:type="pct"/>
          </w:tcPr>
          <w:p w14:paraId="0352C5E2" w14:textId="77777777" w:rsidR="00696D28" w:rsidRPr="00696D28" w:rsidRDefault="00696D28" w:rsidP="00322CB0">
            <w:pPr>
              <w:spacing w:line="276" w:lineRule="auto"/>
              <w:jc w:val="both"/>
              <w:rPr>
                <w:rFonts w:asciiTheme="minorHAnsi" w:hAnsiTheme="minorHAnsi"/>
                <w:sz w:val="24"/>
                <w:szCs w:val="24"/>
              </w:rPr>
            </w:pPr>
          </w:p>
        </w:tc>
      </w:tr>
      <w:tr w:rsidR="00696D28" w:rsidRPr="00696D28" w14:paraId="2B6934FD" w14:textId="197E16D1" w:rsidTr="00696D28">
        <w:tc>
          <w:tcPr>
            <w:tcW w:w="2500" w:type="pct"/>
          </w:tcPr>
          <w:p w14:paraId="1545A21F" w14:textId="77777777" w:rsidR="00696D28" w:rsidRPr="00696D28" w:rsidRDefault="00696D28" w:rsidP="00A317BF">
            <w:pPr>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i beni tutelati dall’art. 136, comma 1, lett. a) b), c), d) individuati da specifico provvedimento di tutela, ai sensi degli articoli da 138 a 141 del D. Lgs. 42/2004;</w:t>
            </w:r>
          </w:p>
        </w:tc>
        <w:tc>
          <w:tcPr>
            <w:tcW w:w="2500" w:type="pct"/>
          </w:tcPr>
          <w:p w14:paraId="153E0DBF" w14:textId="77777777" w:rsidR="00696D28" w:rsidRPr="00696D28" w:rsidRDefault="00696D28" w:rsidP="00322CB0">
            <w:pPr>
              <w:spacing w:line="276" w:lineRule="auto"/>
              <w:jc w:val="both"/>
              <w:rPr>
                <w:rFonts w:asciiTheme="minorHAnsi" w:hAnsiTheme="minorHAnsi"/>
                <w:sz w:val="24"/>
                <w:szCs w:val="24"/>
              </w:rPr>
            </w:pPr>
          </w:p>
        </w:tc>
      </w:tr>
      <w:tr w:rsidR="00696D28" w:rsidRPr="00696D28" w14:paraId="0E2654FE" w14:textId="08A21D40" w:rsidTr="00696D28">
        <w:tc>
          <w:tcPr>
            <w:tcW w:w="2500" w:type="pct"/>
          </w:tcPr>
          <w:p w14:paraId="7E228A73" w14:textId="77777777" w:rsidR="00696D28" w:rsidRPr="00696D28" w:rsidRDefault="00696D28" w:rsidP="00A317BF">
            <w:pPr>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i siti archeologici:</w:t>
            </w:r>
          </w:p>
        </w:tc>
        <w:tc>
          <w:tcPr>
            <w:tcW w:w="2500" w:type="pct"/>
          </w:tcPr>
          <w:p w14:paraId="4E48D0F4" w14:textId="77777777" w:rsidR="00696D28" w:rsidRPr="00696D28" w:rsidRDefault="00696D28" w:rsidP="00322CB0">
            <w:pPr>
              <w:spacing w:line="276" w:lineRule="auto"/>
              <w:ind w:left="720"/>
              <w:jc w:val="both"/>
              <w:rPr>
                <w:rFonts w:asciiTheme="minorHAnsi" w:hAnsiTheme="minorHAnsi"/>
                <w:sz w:val="24"/>
                <w:szCs w:val="24"/>
              </w:rPr>
            </w:pPr>
          </w:p>
        </w:tc>
      </w:tr>
      <w:tr w:rsidR="00696D28" w:rsidRPr="00696D28" w14:paraId="199CE2F1" w14:textId="5A84FD07" w:rsidTr="00696D28">
        <w:tc>
          <w:tcPr>
            <w:tcW w:w="2500" w:type="pct"/>
          </w:tcPr>
          <w:p w14:paraId="6F974772" w14:textId="77777777" w:rsidR="00696D28" w:rsidRPr="00696D28" w:rsidRDefault="00696D28" w:rsidP="00A317BF">
            <w:pPr>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i territori contermini ai laghi compresi in una fascia di estensione di 300 metri dalla linea di battigia, compresi i territori elevati;</w:t>
            </w:r>
          </w:p>
        </w:tc>
        <w:tc>
          <w:tcPr>
            <w:tcW w:w="2500" w:type="pct"/>
          </w:tcPr>
          <w:p w14:paraId="3AEBCDF6" w14:textId="77777777" w:rsidR="00696D28" w:rsidRPr="00696D28" w:rsidRDefault="00696D28" w:rsidP="00322CB0">
            <w:pPr>
              <w:spacing w:line="276" w:lineRule="auto"/>
              <w:jc w:val="both"/>
              <w:rPr>
                <w:rFonts w:asciiTheme="minorHAnsi" w:hAnsiTheme="minorHAnsi"/>
                <w:sz w:val="24"/>
                <w:szCs w:val="24"/>
              </w:rPr>
            </w:pPr>
          </w:p>
        </w:tc>
      </w:tr>
      <w:tr w:rsidR="00696D28" w:rsidRPr="00696D28" w14:paraId="4A442148" w14:textId="034916BC" w:rsidTr="00696D28">
        <w:tc>
          <w:tcPr>
            <w:tcW w:w="2500" w:type="pct"/>
          </w:tcPr>
          <w:p w14:paraId="32BAFB36" w14:textId="77777777" w:rsidR="00696D28" w:rsidRPr="00696D28" w:rsidRDefault="00696D28" w:rsidP="00A317BF">
            <w:pPr>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i fiumi, torrenti, corsi d’acqua pubblici, Fiume Po, per una fascia estesa per 150 metri dalle sponde;</w:t>
            </w:r>
          </w:p>
        </w:tc>
        <w:tc>
          <w:tcPr>
            <w:tcW w:w="2500" w:type="pct"/>
          </w:tcPr>
          <w:p w14:paraId="25F9DEE6" w14:textId="77777777" w:rsidR="00696D28" w:rsidRPr="00696D28" w:rsidRDefault="00696D28" w:rsidP="00322CB0">
            <w:pPr>
              <w:spacing w:line="276" w:lineRule="auto"/>
              <w:jc w:val="both"/>
              <w:rPr>
                <w:rFonts w:asciiTheme="minorHAnsi" w:hAnsiTheme="minorHAnsi"/>
                <w:sz w:val="24"/>
                <w:szCs w:val="24"/>
              </w:rPr>
            </w:pPr>
          </w:p>
        </w:tc>
      </w:tr>
      <w:tr w:rsidR="00696D28" w:rsidRPr="00696D28" w14:paraId="2E99F689" w14:textId="7DE8E4A9" w:rsidTr="00696D28">
        <w:tc>
          <w:tcPr>
            <w:tcW w:w="2500" w:type="pct"/>
          </w:tcPr>
          <w:p w14:paraId="32BD98C1" w14:textId="77777777" w:rsidR="00696D28" w:rsidRPr="00696D28" w:rsidRDefault="00696D28" w:rsidP="00A317BF">
            <w:pPr>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i ghiacciai e i circhi glaciali;</w:t>
            </w:r>
          </w:p>
        </w:tc>
        <w:tc>
          <w:tcPr>
            <w:tcW w:w="2500" w:type="pct"/>
          </w:tcPr>
          <w:p w14:paraId="6A9926B2" w14:textId="77777777" w:rsidR="00696D28" w:rsidRPr="00696D28" w:rsidRDefault="00696D28" w:rsidP="00322CB0">
            <w:pPr>
              <w:spacing w:line="276" w:lineRule="auto"/>
              <w:jc w:val="both"/>
              <w:rPr>
                <w:rFonts w:asciiTheme="minorHAnsi" w:hAnsiTheme="minorHAnsi"/>
                <w:sz w:val="24"/>
                <w:szCs w:val="24"/>
              </w:rPr>
            </w:pPr>
          </w:p>
        </w:tc>
      </w:tr>
      <w:tr w:rsidR="00696D28" w:rsidRPr="00696D28" w14:paraId="350B2247" w14:textId="106E6BE2" w:rsidTr="00696D28">
        <w:tc>
          <w:tcPr>
            <w:tcW w:w="2500" w:type="pct"/>
          </w:tcPr>
          <w:p w14:paraId="6393B81D" w14:textId="77777777" w:rsidR="00696D28" w:rsidRPr="00696D28" w:rsidRDefault="00696D28" w:rsidP="00A317BF">
            <w:pPr>
              <w:pStyle w:val="Paragrafoelenco"/>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i territori coperti da foreste e boschi;</w:t>
            </w:r>
          </w:p>
        </w:tc>
        <w:tc>
          <w:tcPr>
            <w:tcW w:w="2500" w:type="pct"/>
          </w:tcPr>
          <w:p w14:paraId="772D822F" w14:textId="77777777" w:rsidR="00696D28" w:rsidRPr="00322CB0" w:rsidRDefault="00696D28" w:rsidP="00322CB0">
            <w:pPr>
              <w:spacing w:line="276" w:lineRule="auto"/>
              <w:jc w:val="both"/>
              <w:rPr>
                <w:rFonts w:asciiTheme="minorHAnsi" w:hAnsiTheme="minorHAnsi"/>
                <w:sz w:val="24"/>
                <w:szCs w:val="24"/>
              </w:rPr>
            </w:pPr>
          </w:p>
        </w:tc>
      </w:tr>
      <w:tr w:rsidR="00696D28" w:rsidRPr="00696D28" w14:paraId="2986855F" w14:textId="27E8310C" w:rsidTr="00696D28">
        <w:tc>
          <w:tcPr>
            <w:tcW w:w="2500" w:type="pct"/>
          </w:tcPr>
          <w:p w14:paraId="072ECD4C" w14:textId="77777777" w:rsidR="00696D28" w:rsidRPr="00696D28" w:rsidRDefault="00696D28" w:rsidP="00A317BF">
            <w:pPr>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le zone umide incluse nell’elenco previsto dal DPR 13 marzo 1976 n. 448</w:t>
            </w:r>
          </w:p>
        </w:tc>
        <w:tc>
          <w:tcPr>
            <w:tcW w:w="2500" w:type="pct"/>
          </w:tcPr>
          <w:p w14:paraId="11AE6976" w14:textId="77777777" w:rsidR="00696D28" w:rsidRPr="00696D28" w:rsidRDefault="00696D28" w:rsidP="00322CB0">
            <w:pPr>
              <w:spacing w:line="276" w:lineRule="auto"/>
              <w:jc w:val="both"/>
              <w:rPr>
                <w:rFonts w:asciiTheme="minorHAnsi" w:hAnsiTheme="minorHAnsi"/>
                <w:sz w:val="24"/>
                <w:szCs w:val="24"/>
              </w:rPr>
            </w:pPr>
          </w:p>
        </w:tc>
      </w:tr>
      <w:tr w:rsidR="00696D28" w:rsidRPr="00696D28" w14:paraId="1DF0C5C9" w14:textId="6B108E02" w:rsidTr="00696D28">
        <w:tc>
          <w:tcPr>
            <w:tcW w:w="2500" w:type="pct"/>
          </w:tcPr>
          <w:p w14:paraId="28B76029" w14:textId="77777777" w:rsidR="00696D28" w:rsidRPr="00696D28" w:rsidRDefault="00696D28" w:rsidP="00A317BF">
            <w:pPr>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 xml:space="preserve">le aree agricole interessate da produzioni agricole di qualità DOP e IGP riferite ai settori viti-vinicolo, olivicolo, frutticolo, orticolo, mellifero; </w:t>
            </w:r>
          </w:p>
        </w:tc>
        <w:tc>
          <w:tcPr>
            <w:tcW w:w="2500" w:type="pct"/>
          </w:tcPr>
          <w:p w14:paraId="7524E121" w14:textId="77777777" w:rsidR="00696D28" w:rsidRPr="00696D28" w:rsidRDefault="00696D28" w:rsidP="00322CB0">
            <w:pPr>
              <w:spacing w:line="276" w:lineRule="auto"/>
              <w:jc w:val="both"/>
              <w:rPr>
                <w:rFonts w:asciiTheme="minorHAnsi" w:hAnsiTheme="minorHAnsi"/>
                <w:sz w:val="24"/>
                <w:szCs w:val="24"/>
              </w:rPr>
            </w:pPr>
          </w:p>
        </w:tc>
      </w:tr>
      <w:tr w:rsidR="00696D28" w:rsidRPr="00696D28" w14:paraId="15107CE5" w14:textId="22DD9950" w:rsidTr="00696D28">
        <w:tc>
          <w:tcPr>
            <w:tcW w:w="2500" w:type="pct"/>
          </w:tcPr>
          <w:p w14:paraId="38E06F09" w14:textId="77777777" w:rsidR="00696D28" w:rsidRPr="00696D28" w:rsidRDefault="00696D28" w:rsidP="00A317BF">
            <w:pPr>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le aree ricomprese nei paesaggi rurali storici iscritti nel registro nazionale dei paesaggi rurali di interesse storico, delle pratiche agricole e delle conoscenze tradizionali di cui al Decreto del Ministro delle politiche agricole, alimentari e forestali del 19 novembre 2012, n. 17070;</w:t>
            </w:r>
          </w:p>
        </w:tc>
        <w:tc>
          <w:tcPr>
            <w:tcW w:w="2500" w:type="pct"/>
          </w:tcPr>
          <w:p w14:paraId="2A4F6250" w14:textId="77777777" w:rsidR="00696D28" w:rsidRPr="00696D28" w:rsidRDefault="00696D28" w:rsidP="00322CB0">
            <w:pPr>
              <w:spacing w:line="276" w:lineRule="auto"/>
              <w:jc w:val="both"/>
              <w:rPr>
                <w:rFonts w:asciiTheme="minorHAnsi" w:hAnsiTheme="minorHAnsi"/>
                <w:sz w:val="24"/>
                <w:szCs w:val="24"/>
              </w:rPr>
            </w:pPr>
          </w:p>
        </w:tc>
      </w:tr>
      <w:tr w:rsidR="00696D28" w:rsidRPr="00696D28" w14:paraId="31DFA44F" w14:textId="427B5F25" w:rsidTr="00696D28">
        <w:tc>
          <w:tcPr>
            <w:tcW w:w="2500" w:type="pct"/>
          </w:tcPr>
          <w:p w14:paraId="349421C0" w14:textId="77777777" w:rsidR="00696D28" w:rsidRPr="00696D28" w:rsidRDefault="00696D28" w:rsidP="00A317BF">
            <w:pPr>
              <w:pStyle w:val="Paragrafoelenco"/>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lastRenderedPageBreak/>
              <w:t xml:space="preserve">i parchi naturali regionali, le riserve naturali regionali e statali e i monumenti naturali istituiti ai sensi della legge 394/1991 e della </w:t>
            </w:r>
            <w:proofErr w:type="spellStart"/>
            <w:r w:rsidRPr="00696D28">
              <w:rPr>
                <w:rFonts w:asciiTheme="minorHAnsi" w:hAnsiTheme="minorHAnsi"/>
                <w:sz w:val="24"/>
                <w:szCs w:val="24"/>
              </w:rPr>
              <w:t>l.r</w:t>
            </w:r>
            <w:proofErr w:type="spellEnd"/>
            <w:r w:rsidRPr="00696D28">
              <w:rPr>
                <w:rFonts w:asciiTheme="minorHAnsi" w:hAnsiTheme="minorHAnsi"/>
                <w:sz w:val="24"/>
                <w:szCs w:val="24"/>
              </w:rPr>
              <w:t>. 86/1983;</w:t>
            </w:r>
          </w:p>
        </w:tc>
        <w:tc>
          <w:tcPr>
            <w:tcW w:w="2500" w:type="pct"/>
          </w:tcPr>
          <w:p w14:paraId="11FDDE3E" w14:textId="77777777" w:rsidR="00696D28" w:rsidRPr="00322CB0" w:rsidRDefault="00696D28" w:rsidP="00322CB0">
            <w:pPr>
              <w:spacing w:line="276" w:lineRule="auto"/>
              <w:jc w:val="both"/>
              <w:rPr>
                <w:rFonts w:asciiTheme="minorHAnsi" w:hAnsiTheme="minorHAnsi"/>
                <w:sz w:val="24"/>
                <w:szCs w:val="24"/>
              </w:rPr>
            </w:pPr>
          </w:p>
        </w:tc>
      </w:tr>
      <w:tr w:rsidR="00696D28" w:rsidRPr="00696D28" w14:paraId="3AFF952C" w14:textId="5343B528" w:rsidTr="00696D28">
        <w:tc>
          <w:tcPr>
            <w:tcW w:w="2500" w:type="pct"/>
          </w:tcPr>
          <w:p w14:paraId="6BAF3134" w14:textId="77777777" w:rsidR="00696D28" w:rsidRPr="00696D28" w:rsidRDefault="00696D28" w:rsidP="00A317BF">
            <w:pPr>
              <w:pStyle w:val="Paragrafoelenco"/>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le aree incluse nella Rete Natura 2000;</w:t>
            </w:r>
          </w:p>
        </w:tc>
        <w:tc>
          <w:tcPr>
            <w:tcW w:w="2500" w:type="pct"/>
          </w:tcPr>
          <w:p w14:paraId="6789A80E" w14:textId="77777777" w:rsidR="00696D28" w:rsidRPr="00322CB0" w:rsidRDefault="00696D28" w:rsidP="00322CB0">
            <w:pPr>
              <w:spacing w:line="276" w:lineRule="auto"/>
              <w:jc w:val="both"/>
              <w:rPr>
                <w:rFonts w:asciiTheme="minorHAnsi" w:hAnsiTheme="minorHAnsi"/>
                <w:sz w:val="24"/>
                <w:szCs w:val="24"/>
              </w:rPr>
            </w:pPr>
          </w:p>
        </w:tc>
      </w:tr>
      <w:tr w:rsidR="00696D28" w:rsidRPr="00696D28" w14:paraId="00FA8DFC" w14:textId="270109D6" w:rsidTr="00696D28">
        <w:tc>
          <w:tcPr>
            <w:tcW w:w="2500" w:type="pct"/>
          </w:tcPr>
          <w:p w14:paraId="7A0A876E" w14:textId="77777777" w:rsidR="00696D28" w:rsidRPr="00696D28" w:rsidRDefault="00696D28" w:rsidP="00A317BF">
            <w:pPr>
              <w:pStyle w:val="Paragrafoelenco"/>
              <w:numPr>
                <w:ilvl w:val="1"/>
                <w:numId w:val="31"/>
              </w:numPr>
              <w:spacing w:line="276" w:lineRule="auto"/>
              <w:ind w:left="1077" w:hanging="357"/>
              <w:jc w:val="both"/>
              <w:rPr>
                <w:rFonts w:asciiTheme="minorHAnsi" w:hAnsiTheme="minorHAnsi"/>
                <w:sz w:val="24"/>
                <w:szCs w:val="24"/>
              </w:rPr>
            </w:pPr>
            <w:r w:rsidRPr="00696D28">
              <w:rPr>
                <w:rFonts w:asciiTheme="minorHAnsi" w:hAnsiTheme="minorHAnsi"/>
                <w:sz w:val="24"/>
                <w:szCs w:val="24"/>
              </w:rPr>
              <w:t>le aree riconosciute ad elevata valenza ambientale nei Piani Territoriali di Coordinamento dei Parchi Regionali e negli strumenti di pianificazione dei Parchi Locali di interesse sovracomunale (PLIS).</w:t>
            </w:r>
          </w:p>
        </w:tc>
        <w:tc>
          <w:tcPr>
            <w:tcW w:w="2500" w:type="pct"/>
          </w:tcPr>
          <w:p w14:paraId="6DE32E08" w14:textId="77777777" w:rsidR="00696D28" w:rsidRPr="00322CB0" w:rsidRDefault="00696D28" w:rsidP="00322CB0">
            <w:pPr>
              <w:spacing w:line="276" w:lineRule="auto"/>
              <w:jc w:val="both"/>
              <w:rPr>
                <w:rFonts w:asciiTheme="minorHAnsi" w:hAnsiTheme="minorHAnsi"/>
                <w:sz w:val="24"/>
                <w:szCs w:val="24"/>
              </w:rPr>
            </w:pPr>
          </w:p>
        </w:tc>
      </w:tr>
      <w:tr w:rsidR="00696D28" w:rsidRPr="00696D28" w14:paraId="6DB612A4" w14:textId="3F69DA33" w:rsidTr="00696D28">
        <w:tc>
          <w:tcPr>
            <w:tcW w:w="2500" w:type="pct"/>
          </w:tcPr>
          <w:p w14:paraId="2725BC50" w14:textId="77777777" w:rsidR="00696D28" w:rsidRPr="00696D28" w:rsidRDefault="00696D28" w:rsidP="00A317BF">
            <w:pPr>
              <w:spacing w:before="240"/>
              <w:jc w:val="both"/>
              <w:rPr>
                <w:rFonts w:asciiTheme="minorHAnsi" w:hAnsiTheme="minorHAnsi"/>
                <w:b/>
                <w:sz w:val="24"/>
                <w:szCs w:val="24"/>
              </w:rPr>
            </w:pPr>
            <w:r w:rsidRPr="00696D28">
              <w:rPr>
                <w:rFonts w:asciiTheme="minorHAnsi" w:hAnsiTheme="minorHAnsi"/>
                <w:b/>
                <w:sz w:val="24"/>
                <w:szCs w:val="24"/>
              </w:rPr>
              <w:t>Art. 9 Classificazione delle superfici e aree ordinarie</w:t>
            </w:r>
          </w:p>
        </w:tc>
        <w:tc>
          <w:tcPr>
            <w:tcW w:w="2500" w:type="pct"/>
          </w:tcPr>
          <w:p w14:paraId="5AE4A294" w14:textId="77777777" w:rsidR="00696D28" w:rsidRPr="00696D28" w:rsidRDefault="00696D28" w:rsidP="00A317BF">
            <w:pPr>
              <w:spacing w:before="240"/>
              <w:jc w:val="both"/>
              <w:rPr>
                <w:rFonts w:asciiTheme="minorHAnsi" w:hAnsiTheme="minorHAnsi"/>
                <w:b/>
                <w:sz w:val="24"/>
                <w:szCs w:val="24"/>
              </w:rPr>
            </w:pPr>
          </w:p>
        </w:tc>
      </w:tr>
      <w:tr w:rsidR="00696D28" w:rsidRPr="00696D28" w14:paraId="06FCF93C" w14:textId="103DEF9F" w:rsidTr="00696D28">
        <w:tc>
          <w:tcPr>
            <w:tcW w:w="2500" w:type="pct"/>
          </w:tcPr>
          <w:p w14:paraId="7CF61127" w14:textId="77777777" w:rsidR="00696D28" w:rsidRPr="00696D28" w:rsidRDefault="00696D28" w:rsidP="00A317BF">
            <w:pPr>
              <w:pStyle w:val="Paragrafoelenco"/>
              <w:numPr>
                <w:ilvl w:val="0"/>
                <w:numId w:val="23"/>
              </w:numPr>
              <w:spacing w:after="200" w:line="276" w:lineRule="auto"/>
              <w:ind w:left="320" w:hanging="284"/>
              <w:jc w:val="both"/>
              <w:rPr>
                <w:rFonts w:asciiTheme="minorHAnsi" w:hAnsiTheme="minorHAnsi"/>
                <w:sz w:val="24"/>
                <w:szCs w:val="24"/>
              </w:rPr>
            </w:pPr>
            <w:r w:rsidRPr="00696D28">
              <w:rPr>
                <w:rFonts w:asciiTheme="minorHAnsi" w:hAnsiTheme="minorHAnsi"/>
                <w:sz w:val="24"/>
                <w:szCs w:val="24"/>
              </w:rPr>
              <w:t>Le superfici e aree ordinarie comprendono le aree del territorio lombardo non rientranti né nella categoria delle superfici e aree idonee, né nella categoria delle superfici e aree non idonee.</w:t>
            </w:r>
          </w:p>
        </w:tc>
        <w:tc>
          <w:tcPr>
            <w:tcW w:w="2500" w:type="pct"/>
          </w:tcPr>
          <w:p w14:paraId="331E50CC" w14:textId="77777777" w:rsidR="00696D28" w:rsidRPr="00322CB0" w:rsidRDefault="00696D28" w:rsidP="00322CB0">
            <w:pPr>
              <w:spacing w:after="200" w:line="276" w:lineRule="auto"/>
              <w:ind w:left="36"/>
              <w:jc w:val="both"/>
              <w:rPr>
                <w:rFonts w:asciiTheme="minorHAnsi" w:hAnsiTheme="minorHAnsi"/>
                <w:sz w:val="24"/>
                <w:szCs w:val="24"/>
              </w:rPr>
            </w:pPr>
          </w:p>
        </w:tc>
      </w:tr>
      <w:tr w:rsidR="00696D28" w:rsidRPr="00696D28" w14:paraId="33C9C50C" w14:textId="2D0E7821" w:rsidTr="00696D28">
        <w:tc>
          <w:tcPr>
            <w:tcW w:w="2500" w:type="pct"/>
          </w:tcPr>
          <w:p w14:paraId="31F23436" w14:textId="77777777" w:rsidR="00696D28" w:rsidRPr="00696D28" w:rsidRDefault="00696D28" w:rsidP="00A317BF">
            <w:pPr>
              <w:pStyle w:val="Paragrafoelenco"/>
              <w:numPr>
                <w:ilvl w:val="0"/>
                <w:numId w:val="23"/>
              </w:numPr>
              <w:spacing w:after="200" w:line="276" w:lineRule="auto"/>
              <w:ind w:left="320" w:hanging="284"/>
              <w:jc w:val="both"/>
              <w:rPr>
                <w:rFonts w:asciiTheme="minorHAnsi" w:hAnsiTheme="minorHAnsi"/>
                <w:sz w:val="24"/>
                <w:szCs w:val="24"/>
              </w:rPr>
            </w:pPr>
            <w:r w:rsidRPr="00696D28">
              <w:rPr>
                <w:rFonts w:asciiTheme="minorHAnsi" w:hAnsiTheme="minorHAnsi"/>
                <w:sz w:val="24"/>
                <w:szCs w:val="24"/>
              </w:rPr>
              <w:t>Nelle aree ordinarie il rilascio del titolo abilitativo e le eventuali valutazioni ambientali sono svolti secondo le norme specifiche indicate nella normativa statale.</w:t>
            </w:r>
          </w:p>
        </w:tc>
        <w:tc>
          <w:tcPr>
            <w:tcW w:w="2500" w:type="pct"/>
          </w:tcPr>
          <w:p w14:paraId="1F23518C" w14:textId="77777777" w:rsidR="00696D28" w:rsidRPr="00322CB0" w:rsidRDefault="00696D28" w:rsidP="00322CB0">
            <w:pPr>
              <w:spacing w:after="200" w:line="276" w:lineRule="auto"/>
              <w:ind w:left="36"/>
              <w:jc w:val="both"/>
              <w:rPr>
                <w:rFonts w:asciiTheme="minorHAnsi" w:hAnsiTheme="minorHAnsi"/>
                <w:sz w:val="24"/>
                <w:szCs w:val="24"/>
              </w:rPr>
            </w:pPr>
          </w:p>
        </w:tc>
      </w:tr>
      <w:tr w:rsidR="00696D28" w:rsidRPr="00696D28" w14:paraId="36F2F0AF" w14:textId="28FC2D3F" w:rsidTr="00696D28">
        <w:tc>
          <w:tcPr>
            <w:tcW w:w="2500" w:type="pct"/>
          </w:tcPr>
          <w:p w14:paraId="5E99377F" w14:textId="77777777" w:rsidR="00696D28" w:rsidRPr="00696D28" w:rsidRDefault="00696D28" w:rsidP="00A317BF">
            <w:pPr>
              <w:pStyle w:val="Paragrafoelenco"/>
              <w:numPr>
                <w:ilvl w:val="0"/>
                <w:numId w:val="23"/>
              </w:numPr>
              <w:spacing w:after="200" w:line="276" w:lineRule="auto"/>
              <w:ind w:left="320" w:hanging="284"/>
              <w:jc w:val="both"/>
              <w:rPr>
                <w:rFonts w:asciiTheme="minorHAnsi" w:hAnsiTheme="minorHAnsi"/>
                <w:sz w:val="24"/>
                <w:szCs w:val="24"/>
              </w:rPr>
            </w:pPr>
            <w:r w:rsidRPr="00696D28">
              <w:rPr>
                <w:rFonts w:asciiTheme="minorHAnsi" w:hAnsiTheme="minorHAnsi"/>
                <w:sz w:val="24"/>
                <w:szCs w:val="24"/>
              </w:rPr>
              <w:t>Nelle aree ordinarie non soggette a vincolo paesaggistico, ai sensi dell’art. 136, comma 1, e dell’art. 142 del D. Lgs. 42/2004, non si applica l’art. 35 del Piano Paesaggistico regionale.</w:t>
            </w:r>
          </w:p>
        </w:tc>
        <w:tc>
          <w:tcPr>
            <w:tcW w:w="2500" w:type="pct"/>
          </w:tcPr>
          <w:p w14:paraId="6D608501" w14:textId="77777777" w:rsidR="00696D28" w:rsidRPr="00322CB0" w:rsidRDefault="00696D28" w:rsidP="00322CB0">
            <w:pPr>
              <w:spacing w:after="200" w:line="276" w:lineRule="auto"/>
              <w:ind w:left="36"/>
              <w:jc w:val="both"/>
              <w:rPr>
                <w:rFonts w:asciiTheme="minorHAnsi" w:hAnsiTheme="minorHAnsi"/>
                <w:sz w:val="24"/>
                <w:szCs w:val="24"/>
              </w:rPr>
            </w:pPr>
          </w:p>
        </w:tc>
      </w:tr>
      <w:tr w:rsidR="00696D28" w:rsidRPr="00696D28" w14:paraId="52856868" w14:textId="2ADB5D44" w:rsidTr="00696D28">
        <w:tc>
          <w:tcPr>
            <w:tcW w:w="2500" w:type="pct"/>
          </w:tcPr>
          <w:p w14:paraId="2108327B" w14:textId="77777777" w:rsidR="00696D28" w:rsidRPr="00696D28" w:rsidRDefault="00696D28" w:rsidP="00A317BF">
            <w:pPr>
              <w:jc w:val="both"/>
              <w:rPr>
                <w:rFonts w:asciiTheme="minorHAnsi" w:hAnsiTheme="minorHAnsi"/>
                <w:b/>
                <w:sz w:val="24"/>
                <w:szCs w:val="24"/>
              </w:rPr>
            </w:pPr>
            <w:r w:rsidRPr="00696D28">
              <w:rPr>
                <w:rFonts w:asciiTheme="minorHAnsi" w:hAnsiTheme="minorHAnsi"/>
                <w:b/>
                <w:sz w:val="24"/>
                <w:szCs w:val="24"/>
              </w:rPr>
              <w:t>Art. 10 Monitoraggio e verifica del raggiungimento degli obiettivi</w:t>
            </w:r>
          </w:p>
        </w:tc>
        <w:tc>
          <w:tcPr>
            <w:tcW w:w="2500" w:type="pct"/>
          </w:tcPr>
          <w:p w14:paraId="3C95D4BE" w14:textId="77777777" w:rsidR="00696D28" w:rsidRPr="00696D28" w:rsidRDefault="00696D28" w:rsidP="00A317BF">
            <w:pPr>
              <w:jc w:val="both"/>
              <w:rPr>
                <w:rFonts w:asciiTheme="minorHAnsi" w:hAnsiTheme="minorHAnsi"/>
                <w:b/>
                <w:sz w:val="24"/>
                <w:szCs w:val="24"/>
              </w:rPr>
            </w:pPr>
          </w:p>
        </w:tc>
      </w:tr>
      <w:tr w:rsidR="00696D28" w:rsidRPr="00696D28" w14:paraId="0F008ED9" w14:textId="5B0F4B19" w:rsidTr="00696D28">
        <w:tc>
          <w:tcPr>
            <w:tcW w:w="2500" w:type="pct"/>
          </w:tcPr>
          <w:p w14:paraId="630341CF" w14:textId="77777777" w:rsidR="00696D28" w:rsidRPr="00696D28" w:rsidRDefault="00696D28" w:rsidP="00A317BF">
            <w:pPr>
              <w:pStyle w:val="Paragrafoelenco"/>
              <w:numPr>
                <w:ilvl w:val="0"/>
                <w:numId w:val="26"/>
              </w:numPr>
              <w:spacing w:after="200" w:line="276" w:lineRule="auto"/>
              <w:ind w:left="315" w:hanging="284"/>
              <w:jc w:val="both"/>
              <w:rPr>
                <w:rFonts w:asciiTheme="minorHAnsi" w:hAnsiTheme="minorHAnsi"/>
                <w:sz w:val="24"/>
                <w:szCs w:val="24"/>
              </w:rPr>
            </w:pPr>
            <w:r w:rsidRPr="00696D28">
              <w:rPr>
                <w:rFonts w:asciiTheme="minorHAnsi" w:hAnsiTheme="minorHAnsi"/>
                <w:sz w:val="24"/>
                <w:szCs w:val="24"/>
              </w:rPr>
              <w:t>Regione Lombardia entro il 31 luglio di ciascun anno a decorrere dalla data di entrata in vigore della presente legge provvede alla verifica della potenza istallata, autorizzata o assentita da fonti rinnovabili nell’anno precedente.</w:t>
            </w:r>
          </w:p>
        </w:tc>
        <w:tc>
          <w:tcPr>
            <w:tcW w:w="2500" w:type="pct"/>
          </w:tcPr>
          <w:p w14:paraId="74C0E242" w14:textId="77777777" w:rsidR="00696D28" w:rsidRPr="00322CB0" w:rsidRDefault="00696D28" w:rsidP="00322CB0">
            <w:pPr>
              <w:spacing w:after="200" w:line="276" w:lineRule="auto"/>
              <w:ind w:left="31"/>
              <w:jc w:val="both"/>
              <w:rPr>
                <w:rFonts w:asciiTheme="minorHAnsi" w:hAnsiTheme="minorHAnsi"/>
                <w:sz w:val="24"/>
                <w:szCs w:val="24"/>
              </w:rPr>
            </w:pPr>
          </w:p>
        </w:tc>
      </w:tr>
      <w:tr w:rsidR="00696D28" w:rsidRPr="00696D28" w14:paraId="55492548" w14:textId="26B4F890" w:rsidTr="00696D28">
        <w:tc>
          <w:tcPr>
            <w:tcW w:w="2500" w:type="pct"/>
          </w:tcPr>
          <w:p w14:paraId="2374DCD9" w14:textId="77777777" w:rsidR="00696D28" w:rsidRPr="00696D28" w:rsidRDefault="00696D28" w:rsidP="00A317BF">
            <w:pPr>
              <w:pStyle w:val="Paragrafoelenco"/>
              <w:numPr>
                <w:ilvl w:val="0"/>
                <w:numId w:val="26"/>
              </w:numPr>
              <w:spacing w:after="200" w:line="276" w:lineRule="auto"/>
              <w:ind w:left="313" w:hanging="284"/>
              <w:jc w:val="both"/>
              <w:rPr>
                <w:rFonts w:asciiTheme="minorHAnsi" w:hAnsiTheme="minorHAnsi"/>
                <w:sz w:val="24"/>
                <w:szCs w:val="24"/>
              </w:rPr>
            </w:pPr>
            <w:r w:rsidRPr="00696D28">
              <w:rPr>
                <w:rFonts w:asciiTheme="minorHAnsi" w:hAnsiTheme="minorHAnsi"/>
                <w:sz w:val="24"/>
                <w:szCs w:val="24"/>
              </w:rPr>
              <w:lastRenderedPageBreak/>
              <w:t>Gli esiti del monitoraggio sono trasferiti sulla Piattaforma di cui all’art. 48, comma 5, del D. Lgs. 199/2021.</w:t>
            </w:r>
          </w:p>
        </w:tc>
        <w:tc>
          <w:tcPr>
            <w:tcW w:w="2500" w:type="pct"/>
          </w:tcPr>
          <w:p w14:paraId="07B06616" w14:textId="77777777" w:rsidR="00696D28" w:rsidRPr="00322CB0" w:rsidRDefault="00696D28" w:rsidP="00322CB0">
            <w:pPr>
              <w:spacing w:after="200" w:line="276" w:lineRule="auto"/>
              <w:ind w:left="29"/>
              <w:jc w:val="both"/>
              <w:rPr>
                <w:rFonts w:asciiTheme="minorHAnsi" w:hAnsiTheme="minorHAnsi"/>
                <w:sz w:val="24"/>
                <w:szCs w:val="24"/>
              </w:rPr>
            </w:pPr>
          </w:p>
        </w:tc>
      </w:tr>
      <w:tr w:rsidR="00696D28" w:rsidRPr="00696D28" w14:paraId="0794C27C" w14:textId="15490F32" w:rsidTr="00696D28">
        <w:tc>
          <w:tcPr>
            <w:tcW w:w="2500" w:type="pct"/>
          </w:tcPr>
          <w:p w14:paraId="72281AB0" w14:textId="77777777" w:rsidR="00696D28" w:rsidRPr="00696D28" w:rsidRDefault="00696D28" w:rsidP="00A317BF">
            <w:pPr>
              <w:jc w:val="both"/>
              <w:rPr>
                <w:rFonts w:asciiTheme="minorHAnsi" w:hAnsiTheme="minorHAnsi"/>
                <w:sz w:val="24"/>
                <w:szCs w:val="24"/>
              </w:rPr>
            </w:pPr>
            <w:r w:rsidRPr="00696D28">
              <w:rPr>
                <w:rFonts w:asciiTheme="minorHAnsi" w:hAnsiTheme="minorHAnsi"/>
                <w:b/>
                <w:sz w:val="24"/>
                <w:szCs w:val="24"/>
              </w:rPr>
              <w:t>Art. 11 Disciplina conseguente all’approvazione della legge</w:t>
            </w:r>
          </w:p>
        </w:tc>
        <w:tc>
          <w:tcPr>
            <w:tcW w:w="2500" w:type="pct"/>
          </w:tcPr>
          <w:p w14:paraId="2ED8A34B" w14:textId="77777777" w:rsidR="00696D28" w:rsidRPr="00696D28" w:rsidRDefault="00696D28" w:rsidP="00A317BF">
            <w:pPr>
              <w:jc w:val="both"/>
              <w:rPr>
                <w:rFonts w:asciiTheme="minorHAnsi" w:hAnsiTheme="minorHAnsi"/>
                <w:b/>
                <w:sz w:val="24"/>
                <w:szCs w:val="24"/>
              </w:rPr>
            </w:pPr>
          </w:p>
        </w:tc>
      </w:tr>
      <w:tr w:rsidR="00696D28" w:rsidRPr="00696D28" w14:paraId="1E376BBC" w14:textId="47FD3B94" w:rsidTr="00696D28">
        <w:tc>
          <w:tcPr>
            <w:tcW w:w="2500" w:type="pct"/>
          </w:tcPr>
          <w:p w14:paraId="70F5BBED" w14:textId="77777777" w:rsidR="00696D28" w:rsidRPr="00696D28" w:rsidRDefault="00696D28" w:rsidP="00A317BF">
            <w:pPr>
              <w:pStyle w:val="Paragrafoelenco"/>
              <w:numPr>
                <w:ilvl w:val="0"/>
                <w:numId w:val="27"/>
              </w:numPr>
              <w:spacing w:after="200" w:line="276" w:lineRule="auto"/>
              <w:ind w:left="315" w:hanging="315"/>
              <w:jc w:val="both"/>
              <w:rPr>
                <w:rFonts w:asciiTheme="minorHAnsi" w:hAnsiTheme="minorHAnsi"/>
                <w:iCs/>
                <w:sz w:val="24"/>
                <w:szCs w:val="24"/>
              </w:rPr>
            </w:pPr>
            <w:r w:rsidRPr="00696D28">
              <w:rPr>
                <w:rFonts w:asciiTheme="minorHAnsi" w:hAnsiTheme="minorHAnsi"/>
                <w:sz w:val="24"/>
                <w:szCs w:val="24"/>
              </w:rPr>
              <w:t xml:space="preserve">Regione Lombardia vigila affinché le Amministrazioni svolgano efficientemente le funzioni amministrative di cui sono titolari, ai sensi dell’art. 12 del D. Lgs. 387/2003 e degli artt. 6 e 6-bis del D. Lgs. 28/2011, ovvero delle disposizioni normative nazionali intervenute, mediante acquisizione dei dati relativi alle istanze presentate, al rilascio dei titoli abilitativi e ai tempi di conduzione dei procedimenti amministrativi. </w:t>
            </w:r>
          </w:p>
        </w:tc>
        <w:tc>
          <w:tcPr>
            <w:tcW w:w="2500" w:type="pct"/>
          </w:tcPr>
          <w:p w14:paraId="58E3739B"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052EE61F" w14:textId="28D6EF28" w:rsidTr="00696D28">
        <w:tc>
          <w:tcPr>
            <w:tcW w:w="2500" w:type="pct"/>
          </w:tcPr>
          <w:p w14:paraId="4F2CCFDB" w14:textId="77777777" w:rsidR="00696D28" w:rsidRPr="00696D28" w:rsidRDefault="00696D28" w:rsidP="00A317BF">
            <w:pPr>
              <w:pStyle w:val="Paragrafoelenco"/>
              <w:numPr>
                <w:ilvl w:val="0"/>
                <w:numId w:val="27"/>
              </w:numPr>
              <w:spacing w:after="200" w:line="276" w:lineRule="auto"/>
              <w:ind w:left="315" w:hanging="315"/>
              <w:jc w:val="both"/>
              <w:rPr>
                <w:rFonts w:asciiTheme="minorHAnsi" w:hAnsiTheme="minorHAnsi"/>
                <w:iCs/>
                <w:sz w:val="24"/>
                <w:szCs w:val="24"/>
              </w:rPr>
            </w:pPr>
            <w:r w:rsidRPr="00696D28">
              <w:rPr>
                <w:rFonts w:asciiTheme="minorHAnsi" w:hAnsiTheme="minorHAnsi"/>
                <w:sz w:val="24"/>
                <w:szCs w:val="24"/>
              </w:rPr>
              <w:t>Per le finalità del comma 1 Regione Lombardia rende interoperabile la propria Piattaforma informatica con la Piattaforma informatica nazionale prevista ai sensi dell’art. 19 del Decreto legislativo 199/2021. In caso di mancato rispetto dei tempi amministrativi di rilascio dei titoli abilitativi stabiliti dalle normative nazionali, Regione Lombardia si sostituisce all’Amministrazione procedente, ai sensi di quanto previsto dall’art. 28 comma 1 lett. e-bis).</w:t>
            </w:r>
          </w:p>
        </w:tc>
        <w:tc>
          <w:tcPr>
            <w:tcW w:w="2500" w:type="pct"/>
          </w:tcPr>
          <w:p w14:paraId="58A18FF2"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4C4113B3" w14:textId="491C1C84" w:rsidTr="00696D28">
        <w:tc>
          <w:tcPr>
            <w:tcW w:w="2500" w:type="pct"/>
          </w:tcPr>
          <w:p w14:paraId="733ED367" w14:textId="77777777" w:rsidR="00696D28" w:rsidRPr="00696D28" w:rsidRDefault="00696D28" w:rsidP="00A317BF">
            <w:pPr>
              <w:pStyle w:val="Paragrafoelenco"/>
              <w:spacing w:after="200" w:line="276" w:lineRule="auto"/>
              <w:ind w:left="0"/>
              <w:jc w:val="both"/>
              <w:rPr>
                <w:rFonts w:asciiTheme="minorHAnsi" w:hAnsiTheme="minorHAnsi"/>
                <w:sz w:val="24"/>
                <w:szCs w:val="24"/>
              </w:rPr>
            </w:pPr>
            <w:r w:rsidRPr="00696D28">
              <w:rPr>
                <w:rFonts w:asciiTheme="minorHAnsi" w:hAnsiTheme="minorHAnsi"/>
                <w:sz w:val="24"/>
                <w:szCs w:val="24"/>
              </w:rPr>
              <w:t>I soggetti proponenti progetti di impianti di produzione di energia da fonte rinnovabile assoggettati ad attività libera sono obbligatoriamente tenuti alla presentazione di una comunicazione e del relativo progetto sulla Piattaforma informatica regionale.</w:t>
            </w:r>
          </w:p>
        </w:tc>
        <w:tc>
          <w:tcPr>
            <w:tcW w:w="2500" w:type="pct"/>
          </w:tcPr>
          <w:p w14:paraId="567ED97B" w14:textId="77777777" w:rsidR="00696D28" w:rsidRPr="00696D28" w:rsidRDefault="00696D28" w:rsidP="00A317BF">
            <w:pPr>
              <w:pStyle w:val="Paragrafoelenco"/>
              <w:spacing w:after="200" w:line="276" w:lineRule="auto"/>
              <w:ind w:left="0"/>
              <w:jc w:val="both"/>
              <w:rPr>
                <w:rFonts w:asciiTheme="minorHAnsi" w:hAnsiTheme="minorHAnsi"/>
                <w:sz w:val="24"/>
                <w:szCs w:val="24"/>
              </w:rPr>
            </w:pPr>
          </w:p>
        </w:tc>
      </w:tr>
      <w:tr w:rsidR="00696D28" w:rsidRPr="00696D28" w14:paraId="718990FA" w14:textId="5B6A223E" w:rsidTr="00696D28">
        <w:tc>
          <w:tcPr>
            <w:tcW w:w="2500" w:type="pct"/>
          </w:tcPr>
          <w:p w14:paraId="779D8879" w14:textId="77777777" w:rsidR="00696D28" w:rsidRPr="00696D28" w:rsidRDefault="00696D28" w:rsidP="00A317BF">
            <w:pPr>
              <w:pStyle w:val="Paragrafoelenco"/>
              <w:numPr>
                <w:ilvl w:val="0"/>
                <w:numId w:val="27"/>
              </w:numPr>
              <w:spacing w:line="276" w:lineRule="auto"/>
              <w:ind w:left="318" w:hanging="318"/>
              <w:jc w:val="both"/>
              <w:rPr>
                <w:rFonts w:asciiTheme="minorHAnsi" w:hAnsiTheme="minorHAnsi"/>
                <w:iCs/>
                <w:sz w:val="24"/>
                <w:szCs w:val="24"/>
              </w:rPr>
            </w:pPr>
            <w:r w:rsidRPr="00696D28">
              <w:rPr>
                <w:rFonts w:asciiTheme="minorHAnsi" w:hAnsiTheme="minorHAnsi"/>
                <w:sz w:val="24"/>
                <w:szCs w:val="24"/>
              </w:rPr>
              <w:t xml:space="preserve">Per realizzare il monitoraggio di cui al precedente art. 10 della presente legge, Regione Lombardia controlla il rilascio dei titoli abilitativi e dei tempi di conduzione dei procedimenti amministrativi e i dati associati ai progetti di impianti di </w:t>
            </w:r>
            <w:r w:rsidRPr="00696D28">
              <w:rPr>
                <w:rFonts w:asciiTheme="minorHAnsi" w:hAnsiTheme="minorHAnsi"/>
                <w:sz w:val="24"/>
                <w:szCs w:val="24"/>
              </w:rPr>
              <w:lastRenderedPageBreak/>
              <w:t>produzione di energia da fonte rinnovabile assoggettati ad attività libera.</w:t>
            </w:r>
          </w:p>
        </w:tc>
        <w:tc>
          <w:tcPr>
            <w:tcW w:w="2500" w:type="pct"/>
          </w:tcPr>
          <w:p w14:paraId="11B08735" w14:textId="77777777" w:rsidR="00696D28" w:rsidRPr="00322CB0" w:rsidRDefault="00696D28" w:rsidP="00322CB0">
            <w:pPr>
              <w:spacing w:line="276" w:lineRule="auto"/>
              <w:jc w:val="both"/>
              <w:rPr>
                <w:rFonts w:asciiTheme="minorHAnsi" w:hAnsiTheme="minorHAnsi"/>
                <w:sz w:val="24"/>
                <w:szCs w:val="24"/>
              </w:rPr>
            </w:pPr>
          </w:p>
        </w:tc>
      </w:tr>
      <w:tr w:rsidR="00696D28" w:rsidRPr="00696D28" w14:paraId="1A76AFEF" w14:textId="3C3FB832" w:rsidTr="00696D28">
        <w:tc>
          <w:tcPr>
            <w:tcW w:w="2500" w:type="pct"/>
          </w:tcPr>
          <w:p w14:paraId="458BACF3" w14:textId="77777777" w:rsidR="00696D28" w:rsidRPr="00696D28" w:rsidRDefault="00696D28" w:rsidP="00A317BF">
            <w:pPr>
              <w:pStyle w:val="Paragrafoelenco"/>
              <w:numPr>
                <w:ilvl w:val="0"/>
                <w:numId w:val="27"/>
              </w:numPr>
              <w:spacing w:after="200" w:line="276" w:lineRule="auto"/>
              <w:ind w:left="315" w:hanging="315"/>
              <w:jc w:val="both"/>
              <w:rPr>
                <w:rFonts w:asciiTheme="minorHAnsi" w:hAnsiTheme="minorHAnsi"/>
                <w:sz w:val="24"/>
                <w:szCs w:val="24"/>
              </w:rPr>
            </w:pPr>
            <w:r w:rsidRPr="00696D28">
              <w:rPr>
                <w:rFonts w:asciiTheme="minorHAnsi" w:hAnsiTheme="minorHAnsi"/>
                <w:sz w:val="24"/>
                <w:szCs w:val="24"/>
              </w:rPr>
              <w:t>Regione Lombardia trasmette al MASE copia della presente legge e degli elaborati cartografici e relazione di cui all’art. 4, comma 4.</w:t>
            </w:r>
          </w:p>
        </w:tc>
        <w:tc>
          <w:tcPr>
            <w:tcW w:w="2500" w:type="pct"/>
          </w:tcPr>
          <w:p w14:paraId="738A3BFD"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29E0320C" w14:textId="192C5358" w:rsidTr="00696D28">
        <w:tc>
          <w:tcPr>
            <w:tcW w:w="2500" w:type="pct"/>
          </w:tcPr>
          <w:p w14:paraId="56482C81" w14:textId="77777777" w:rsidR="00696D28" w:rsidRPr="00696D28" w:rsidRDefault="00696D28" w:rsidP="00A317BF">
            <w:pPr>
              <w:jc w:val="both"/>
              <w:rPr>
                <w:rFonts w:asciiTheme="minorHAnsi" w:hAnsiTheme="minorHAnsi"/>
                <w:b/>
                <w:sz w:val="24"/>
                <w:szCs w:val="24"/>
              </w:rPr>
            </w:pPr>
            <w:r w:rsidRPr="00696D28">
              <w:rPr>
                <w:rFonts w:asciiTheme="minorHAnsi" w:hAnsiTheme="minorHAnsi"/>
                <w:b/>
                <w:sz w:val="24"/>
                <w:szCs w:val="24"/>
              </w:rPr>
              <w:t>Art.12 Disposizioni transitorie e finali</w:t>
            </w:r>
          </w:p>
        </w:tc>
        <w:tc>
          <w:tcPr>
            <w:tcW w:w="2500" w:type="pct"/>
          </w:tcPr>
          <w:p w14:paraId="54862950" w14:textId="77777777" w:rsidR="00696D28" w:rsidRPr="00696D28" w:rsidRDefault="00696D28" w:rsidP="00A317BF">
            <w:pPr>
              <w:jc w:val="both"/>
              <w:rPr>
                <w:rFonts w:asciiTheme="minorHAnsi" w:hAnsiTheme="minorHAnsi"/>
                <w:b/>
                <w:sz w:val="24"/>
                <w:szCs w:val="24"/>
              </w:rPr>
            </w:pPr>
          </w:p>
        </w:tc>
      </w:tr>
      <w:tr w:rsidR="00696D28" w:rsidRPr="00696D28" w14:paraId="4D9D817D" w14:textId="39EBD3CE" w:rsidTr="00696D28">
        <w:tc>
          <w:tcPr>
            <w:tcW w:w="2500" w:type="pct"/>
          </w:tcPr>
          <w:p w14:paraId="18ECC064" w14:textId="77777777" w:rsidR="00696D28" w:rsidRPr="00696D28" w:rsidRDefault="00696D28" w:rsidP="00A317BF">
            <w:pPr>
              <w:pStyle w:val="Paragrafoelenco"/>
              <w:numPr>
                <w:ilvl w:val="0"/>
                <w:numId w:val="28"/>
              </w:numPr>
              <w:spacing w:after="200" w:line="276" w:lineRule="auto"/>
              <w:ind w:left="315" w:hanging="315"/>
              <w:jc w:val="both"/>
              <w:rPr>
                <w:rFonts w:asciiTheme="minorHAnsi" w:hAnsiTheme="minorHAnsi"/>
                <w:sz w:val="24"/>
                <w:szCs w:val="24"/>
              </w:rPr>
            </w:pPr>
            <w:r w:rsidRPr="00696D28">
              <w:rPr>
                <w:rFonts w:asciiTheme="minorHAnsi" w:hAnsiTheme="minorHAnsi"/>
                <w:sz w:val="24"/>
                <w:szCs w:val="24"/>
              </w:rPr>
              <w:t>I procedimenti avviati in data anteriore all’entrata in vigore della presente legge sono conclusi ai sensi della normativa previgente.</w:t>
            </w:r>
          </w:p>
        </w:tc>
        <w:tc>
          <w:tcPr>
            <w:tcW w:w="2500" w:type="pct"/>
          </w:tcPr>
          <w:p w14:paraId="27295556" w14:textId="77777777" w:rsidR="00696D28" w:rsidRPr="00322CB0" w:rsidRDefault="00696D28" w:rsidP="00322CB0">
            <w:pPr>
              <w:spacing w:after="200" w:line="276" w:lineRule="auto"/>
              <w:jc w:val="both"/>
              <w:rPr>
                <w:rFonts w:asciiTheme="minorHAnsi" w:hAnsiTheme="minorHAnsi"/>
                <w:sz w:val="24"/>
                <w:szCs w:val="24"/>
              </w:rPr>
            </w:pPr>
          </w:p>
        </w:tc>
      </w:tr>
      <w:tr w:rsidR="00696D28" w:rsidRPr="00696D28" w14:paraId="1B9809D1" w14:textId="77BB935D" w:rsidTr="00696D28">
        <w:tc>
          <w:tcPr>
            <w:tcW w:w="2500" w:type="pct"/>
          </w:tcPr>
          <w:p w14:paraId="2E7D64FD" w14:textId="77777777" w:rsidR="00696D28" w:rsidRPr="00696D28" w:rsidRDefault="00696D28" w:rsidP="00A317BF">
            <w:pPr>
              <w:pStyle w:val="Paragrafoelenco"/>
              <w:numPr>
                <w:ilvl w:val="0"/>
                <w:numId w:val="28"/>
              </w:numPr>
              <w:spacing w:after="200" w:line="276" w:lineRule="auto"/>
              <w:ind w:left="313" w:hanging="313"/>
              <w:jc w:val="both"/>
              <w:rPr>
                <w:rFonts w:asciiTheme="minorHAnsi" w:hAnsiTheme="minorHAnsi"/>
                <w:sz w:val="24"/>
                <w:szCs w:val="24"/>
              </w:rPr>
            </w:pPr>
            <w:r w:rsidRPr="00696D28">
              <w:rPr>
                <w:rFonts w:asciiTheme="minorHAnsi" w:hAnsiTheme="minorHAnsi"/>
                <w:sz w:val="24"/>
                <w:szCs w:val="24"/>
              </w:rPr>
              <w:t>La Giunta regionale, entro 60 giorni dall’entrata in vigore della presente legge, approva e pubblica i contenuti dei servizi di mappa digitali e la relazione di cui all’art. 4 comma 3 e provvede al loro aggiornamento in ragione di esigenze conseguenti a nuove disposizioni normative o a modifiche sugli obiettivi di cui all’articolo 2 della presente legge; inoltre provvede alla definizione delle condizioni che, all’interno delle aree, rendono il progetto realizzabile in funzione degli eventuali elementi di mitigazione dell’impatto potenziale generato sul tipo di tutela che caratterizza la classe di area.</w:t>
            </w:r>
          </w:p>
        </w:tc>
        <w:tc>
          <w:tcPr>
            <w:tcW w:w="2500" w:type="pct"/>
          </w:tcPr>
          <w:p w14:paraId="72114FCB" w14:textId="77777777" w:rsidR="00696D28" w:rsidRPr="00322CB0" w:rsidRDefault="00696D28" w:rsidP="00322CB0">
            <w:pPr>
              <w:spacing w:after="200" w:line="276" w:lineRule="auto"/>
              <w:jc w:val="both"/>
              <w:rPr>
                <w:rFonts w:asciiTheme="minorHAnsi" w:hAnsiTheme="minorHAnsi"/>
                <w:sz w:val="24"/>
                <w:szCs w:val="24"/>
              </w:rPr>
            </w:pPr>
          </w:p>
        </w:tc>
      </w:tr>
      <w:tr w:rsidR="00696D28" w:rsidRPr="00C413AC" w14:paraId="22DF02F6" w14:textId="1D2F0613" w:rsidTr="00696D28">
        <w:tc>
          <w:tcPr>
            <w:tcW w:w="2500" w:type="pct"/>
          </w:tcPr>
          <w:p w14:paraId="32BD4A7A" w14:textId="42C3AEB0" w:rsidR="00696D28" w:rsidRPr="00C413AC" w:rsidRDefault="00696D28" w:rsidP="00A317BF">
            <w:pPr>
              <w:pStyle w:val="Paragrafoelenco"/>
              <w:numPr>
                <w:ilvl w:val="0"/>
                <w:numId w:val="28"/>
              </w:numPr>
              <w:spacing w:after="200" w:line="276" w:lineRule="auto"/>
              <w:ind w:left="313" w:hanging="313"/>
              <w:jc w:val="both"/>
              <w:rPr>
                <w:rFonts w:asciiTheme="minorHAnsi" w:hAnsiTheme="minorHAnsi"/>
                <w:sz w:val="24"/>
                <w:szCs w:val="24"/>
              </w:rPr>
            </w:pPr>
            <w:r w:rsidRPr="00696D28">
              <w:rPr>
                <w:rFonts w:asciiTheme="minorHAnsi" w:hAnsiTheme="minorHAnsi"/>
                <w:sz w:val="24"/>
                <w:szCs w:val="24"/>
              </w:rPr>
              <w:t xml:space="preserve">A far data dall’entrata in vigore della presente legge la Giunta provvede a disapplicare le disposizioni regionali sugli impianti </w:t>
            </w:r>
            <w:proofErr w:type="spellStart"/>
            <w:r w:rsidRPr="00696D28">
              <w:rPr>
                <w:rFonts w:asciiTheme="minorHAnsi" w:hAnsiTheme="minorHAnsi"/>
                <w:sz w:val="24"/>
                <w:szCs w:val="24"/>
              </w:rPr>
              <w:t>agrivoltaici</w:t>
            </w:r>
            <w:proofErr w:type="spellEnd"/>
            <w:r w:rsidRPr="00696D28">
              <w:rPr>
                <w:rFonts w:asciiTheme="minorHAnsi" w:hAnsiTheme="minorHAnsi"/>
                <w:sz w:val="24"/>
                <w:szCs w:val="24"/>
              </w:rPr>
              <w:t xml:space="preserve"> da realizzarsi in aree agrico</w:t>
            </w:r>
            <w:r w:rsidR="002F0CB5" w:rsidRPr="002F0CB5">
              <w:rPr>
                <w:rFonts w:asciiTheme="minorHAnsi" w:hAnsiTheme="minorHAnsi"/>
                <w:sz w:val="24"/>
                <w:szCs w:val="24"/>
              </w:rPr>
              <w:t>le</w:t>
            </w:r>
            <w:r w:rsidR="002F0CB5">
              <w:rPr>
                <w:rFonts w:asciiTheme="minorHAnsi" w:hAnsiTheme="minorHAnsi"/>
                <w:sz w:val="24"/>
                <w:szCs w:val="24"/>
              </w:rPr>
              <w:t>.</w:t>
            </w:r>
          </w:p>
        </w:tc>
        <w:tc>
          <w:tcPr>
            <w:tcW w:w="2500" w:type="pct"/>
          </w:tcPr>
          <w:p w14:paraId="3008CCF6" w14:textId="77777777" w:rsidR="00696D28" w:rsidRPr="00322CB0" w:rsidRDefault="00696D28" w:rsidP="00322CB0">
            <w:pPr>
              <w:spacing w:after="200" w:line="276" w:lineRule="auto"/>
              <w:jc w:val="both"/>
              <w:rPr>
                <w:rFonts w:asciiTheme="minorHAnsi" w:hAnsiTheme="minorHAnsi"/>
                <w:sz w:val="24"/>
                <w:szCs w:val="24"/>
              </w:rPr>
            </w:pPr>
          </w:p>
        </w:tc>
      </w:tr>
    </w:tbl>
    <w:p w14:paraId="2B287BC6" w14:textId="68115E51" w:rsidR="00D374AB" w:rsidRPr="002F0CB5" w:rsidRDefault="00D374AB" w:rsidP="002F0CB5">
      <w:pPr>
        <w:spacing w:after="200" w:line="276" w:lineRule="auto"/>
        <w:jc w:val="both"/>
        <w:rPr>
          <w:rFonts w:asciiTheme="minorHAnsi" w:hAnsiTheme="minorHAnsi"/>
          <w:sz w:val="24"/>
          <w:szCs w:val="24"/>
        </w:rPr>
      </w:pPr>
    </w:p>
    <w:sectPr w:rsidR="00D374AB" w:rsidRPr="002F0CB5" w:rsidSect="00696D28">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E60CA" w14:textId="77777777" w:rsidR="009229B1" w:rsidRDefault="009229B1" w:rsidP="00B25FDD">
      <w:pPr>
        <w:spacing w:after="0" w:line="240" w:lineRule="auto"/>
      </w:pPr>
      <w:r>
        <w:separator/>
      </w:r>
    </w:p>
  </w:endnote>
  <w:endnote w:type="continuationSeparator" w:id="0">
    <w:p w14:paraId="0F404F46" w14:textId="77777777" w:rsidR="009229B1" w:rsidRDefault="009229B1" w:rsidP="00B25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5D93B" w14:textId="77777777" w:rsidR="009229B1" w:rsidRDefault="009229B1" w:rsidP="00B25FDD">
      <w:pPr>
        <w:spacing w:after="0" w:line="240" w:lineRule="auto"/>
      </w:pPr>
      <w:r>
        <w:separator/>
      </w:r>
    </w:p>
  </w:footnote>
  <w:footnote w:type="continuationSeparator" w:id="0">
    <w:p w14:paraId="52F51800" w14:textId="77777777" w:rsidR="009229B1" w:rsidRDefault="009229B1" w:rsidP="00B25FDD">
      <w:pPr>
        <w:spacing w:after="0" w:line="240" w:lineRule="auto"/>
      </w:pPr>
      <w:r>
        <w:continuationSeparator/>
      </w:r>
    </w:p>
  </w:footnote>
  <w:footnote w:id="1">
    <w:p w14:paraId="60816CA2" w14:textId="77777777" w:rsidR="00696D28" w:rsidRDefault="00696D28" w:rsidP="00B25FDD">
      <w:pPr>
        <w:pStyle w:val="Testonotaapidipagina"/>
      </w:pPr>
      <w:r>
        <w:rPr>
          <w:rStyle w:val="Rimandonotaapidipagina"/>
        </w:rPr>
        <w:footnoteRef/>
      </w:r>
      <w:r>
        <w:t xml:space="preserve"> La distanza di 1,5 è ritenuta una soglia oltre la quale la sostenibilità economica dell’impianto non è garantita per effetto dei costi di realizzazione dell’impianto di rete per la connessione.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2E77"/>
    <w:multiLevelType w:val="hybridMultilevel"/>
    <w:tmpl w:val="6184766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strike w:val="0"/>
      </w:r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EB704D"/>
    <w:multiLevelType w:val="hybridMultilevel"/>
    <w:tmpl w:val="2B9C6A54"/>
    <w:lvl w:ilvl="0" w:tplc="7D06F0EA">
      <w:start w:val="4"/>
      <w:numFmt w:val="decimal"/>
      <w:lvlText w:val="%1."/>
      <w:lvlJc w:val="left"/>
      <w:pPr>
        <w:ind w:left="720" w:hanging="360"/>
      </w:pPr>
      <w:rPr>
        <w:rFonts w:hint="default"/>
        <w:b w:val="0"/>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AE0017"/>
    <w:multiLevelType w:val="hybridMultilevel"/>
    <w:tmpl w:val="E0EEC3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DD2A41"/>
    <w:multiLevelType w:val="hybridMultilevel"/>
    <w:tmpl w:val="FFB6A70C"/>
    <w:lvl w:ilvl="0" w:tplc="1734AED4">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F97C2D"/>
    <w:multiLevelType w:val="hybridMultilevel"/>
    <w:tmpl w:val="29FCF416"/>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157D13BA"/>
    <w:multiLevelType w:val="hybridMultilevel"/>
    <w:tmpl w:val="7E9457B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90745C10">
      <w:start w:val="14"/>
      <w:numFmt w:val="lowerLetter"/>
      <w:lvlText w:val="%3)"/>
      <w:lvlJc w:val="left"/>
      <w:pPr>
        <w:ind w:left="2340" w:hanging="360"/>
      </w:pPr>
      <w:rPr>
        <w:rFonts w:hint="default"/>
        <w:b w:val="0"/>
      </w:rPr>
    </w:lvl>
    <w:lvl w:ilvl="3" w:tplc="04100001">
      <w:start w:val="1"/>
      <w:numFmt w:val="bullet"/>
      <w:lvlText w:val=""/>
      <w:lvlJc w:val="left"/>
      <w:pPr>
        <w:ind w:left="2138"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6A3C78"/>
    <w:multiLevelType w:val="hybridMultilevel"/>
    <w:tmpl w:val="1248A16E"/>
    <w:lvl w:ilvl="0" w:tplc="78469D8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CC6209D"/>
    <w:multiLevelType w:val="hybridMultilevel"/>
    <w:tmpl w:val="2CDA29FC"/>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C9191D"/>
    <w:multiLevelType w:val="hybridMultilevel"/>
    <w:tmpl w:val="861A1F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7E7C78"/>
    <w:multiLevelType w:val="hybridMultilevel"/>
    <w:tmpl w:val="9DFC7B7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383D41A3"/>
    <w:multiLevelType w:val="hybridMultilevel"/>
    <w:tmpl w:val="AB0A4FB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8F42427"/>
    <w:multiLevelType w:val="hybridMultilevel"/>
    <w:tmpl w:val="41D4C37A"/>
    <w:lvl w:ilvl="0" w:tplc="D14C10F6">
      <w:start w:val="1"/>
      <w:numFmt w:val="decimal"/>
      <w:lvlText w:val="%1."/>
      <w:lvlJc w:val="left"/>
      <w:pPr>
        <w:ind w:left="720" w:hanging="360"/>
      </w:pPr>
      <w:rPr>
        <w:rFonts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9405A7"/>
    <w:multiLevelType w:val="hybridMultilevel"/>
    <w:tmpl w:val="3D18366A"/>
    <w:lvl w:ilvl="0" w:tplc="058AC488">
      <w:numFmt w:val="bullet"/>
      <w:lvlText w:val="-"/>
      <w:lvlJc w:val="left"/>
      <w:pPr>
        <w:ind w:left="2136" w:hanging="360"/>
      </w:pPr>
      <w:rPr>
        <w:rFonts w:ascii="Calibri" w:eastAsiaTheme="minorHAnsi" w:hAnsi="Calibri" w:cs="Calibri"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3" w15:restartNumberingAfterBreak="0">
    <w:nsid w:val="3DC14917"/>
    <w:multiLevelType w:val="hybridMultilevel"/>
    <w:tmpl w:val="03866510"/>
    <w:lvl w:ilvl="0" w:tplc="7C927944">
      <w:start w:val="1"/>
      <w:numFmt w:val="decimal"/>
      <w:lvlText w:val="%1."/>
      <w:lvlJc w:val="left"/>
      <w:pPr>
        <w:ind w:left="720" w:hanging="360"/>
      </w:pPr>
      <w:rPr>
        <w:rFonts w:hint="default"/>
        <w:b w:val="0"/>
        <w:bCs/>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D97906"/>
    <w:multiLevelType w:val="hybridMultilevel"/>
    <w:tmpl w:val="2AB2690A"/>
    <w:lvl w:ilvl="0" w:tplc="720E1210">
      <w:start w:val="1"/>
      <w:numFmt w:val="decimal"/>
      <w:lvlText w:val="%1."/>
      <w:lvlJc w:val="left"/>
      <w:pPr>
        <w:ind w:left="720" w:hanging="360"/>
      </w:pPr>
      <w:rPr>
        <w:rFonts w:hint="default"/>
        <w:b w:val="0"/>
        <w:bCs/>
        <w:i w:val="0"/>
        <w:iCs w:val="0"/>
      </w:rPr>
    </w:lvl>
    <w:lvl w:ilvl="1" w:tplc="3370CA64">
      <w:start w:val="1"/>
      <w:numFmt w:val="lowerLetter"/>
      <w:lvlText w:val="%2)"/>
      <w:lvlJc w:val="left"/>
      <w:pPr>
        <w:ind w:left="1440" w:hanging="360"/>
      </w:pPr>
      <w:rPr>
        <w:rFonts w:asciiTheme="minorHAnsi" w:eastAsia="Calibri" w:hAnsiTheme="minorHAnsi" w:cs="Calibri" w:hint="default"/>
        <w:b w:val="0"/>
        <w:bCs w:val="0"/>
      </w:rPr>
    </w:lvl>
    <w:lvl w:ilvl="2" w:tplc="7FA45C20">
      <w:start w:val="16"/>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833C3C"/>
    <w:multiLevelType w:val="hybridMultilevel"/>
    <w:tmpl w:val="1F5C7D66"/>
    <w:lvl w:ilvl="0" w:tplc="04100015">
      <w:start w:val="1"/>
      <w:numFmt w:val="upp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48080BE5"/>
    <w:multiLevelType w:val="hybridMultilevel"/>
    <w:tmpl w:val="3B50FE34"/>
    <w:lvl w:ilvl="0" w:tplc="04100001">
      <w:start w:val="1"/>
      <w:numFmt w:val="bullet"/>
      <w:lvlText w:val=""/>
      <w:lvlJc w:val="left"/>
      <w:pPr>
        <w:ind w:left="2141" w:hanging="360"/>
      </w:pPr>
      <w:rPr>
        <w:rFonts w:ascii="Symbol" w:hAnsi="Symbol" w:hint="default"/>
      </w:rPr>
    </w:lvl>
    <w:lvl w:ilvl="1" w:tplc="04100003" w:tentative="1">
      <w:start w:val="1"/>
      <w:numFmt w:val="bullet"/>
      <w:lvlText w:val="o"/>
      <w:lvlJc w:val="left"/>
      <w:pPr>
        <w:ind w:left="2861" w:hanging="360"/>
      </w:pPr>
      <w:rPr>
        <w:rFonts w:ascii="Courier New" w:hAnsi="Courier New" w:cs="Courier New" w:hint="default"/>
      </w:rPr>
    </w:lvl>
    <w:lvl w:ilvl="2" w:tplc="04100005" w:tentative="1">
      <w:start w:val="1"/>
      <w:numFmt w:val="bullet"/>
      <w:lvlText w:val=""/>
      <w:lvlJc w:val="left"/>
      <w:pPr>
        <w:ind w:left="3581" w:hanging="360"/>
      </w:pPr>
      <w:rPr>
        <w:rFonts w:ascii="Wingdings" w:hAnsi="Wingdings" w:hint="default"/>
      </w:rPr>
    </w:lvl>
    <w:lvl w:ilvl="3" w:tplc="04100001" w:tentative="1">
      <w:start w:val="1"/>
      <w:numFmt w:val="bullet"/>
      <w:lvlText w:val=""/>
      <w:lvlJc w:val="left"/>
      <w:pPr>
        <w:ind w:left="4301" w:hanging="360"/>
      </w:pPr>
      <w:rPr>
        <w:rFonts w:ascii="Symbol" w:hAnsi="Symbol" w:hint="default"/>
      </w:rPr>
    </w:lvl>
    <w:lvl w:ilvl="4" w:tplc="04100003" w:tentative="1">
      <w:start w:val="1"/>
      <w:numFmt w:val="bullet"/>
      <w:lvlText w:val="o"/>
      <w:lvlJc w:val="left"/>
      <w:pPr>
        <w:ind w:left="5021" w:hanging="360"/>
      </w:pPr>
      <w:rPr>
        <w:rFonts w:ascii="Courier New" w:hAnsi="Courier New" w:cs="Courier New" w:hint="default"/>
      </w:rPr>
    </w:lvl>
    <w:lvl w:ilvl="5" w:tplc="04100005" w:tentative="1">
      <w:start w:val="1"/>
      <w:numFmt w:val="bullet"/>
      <w:lvlText w:val=""/>
      <w:lvlJc w:val="left"/>
      <w:pPr>
        <w:ind w:left="5741" w:hanging="360"/>
      </w:pPr>
      <w:rPr>
        <w:rFonts w:ascii="Wingdings" w:hAnsi="Wingdings" w:hint="default"/>
      </w:rPr>
    </w:lvl>
    <w:lvl w:ilvl="6" w:tplc="04100001" w:tentative="1">
      <w:start w:val="1"/>
      <w:numFmt w:val="bullet"/>
      <w:lvlText w:val=""/>
      <w:lvlJc w:val="left"/>
      <w:pPr>
        <w:ind w:left="6461" w:hanging="360"/>
      </w:pPr>
      <w:rPr>
        <w:rFonts w:ascii="Symbol" w:hAnsi="Symbol" w:hint="default"/>
      </w:rPr>
    </w:lvl>
    <w:lvl w:ilvl="7" w:tplc="04100003" w:tentative="1">
      <w:start w:val="1"/>
      <w:numFmt w:val="bullet"/>
      <w:lvlText w:val="o"/>
      <w:lvlJc w:val="left"/>
      <w:pPr>
        <w:ind w:left="7181" w:hanging="360"/>
      </w:pPr>
      <w:rPr>
        <w:rFonts w:ascii="Courier New" w:hAnsi="Courier New" w:cs="Courier New" w:hint="default"/>
      </w:rPr>
    </w:lvl>
    <w:lvl w:ilvl="8" w:tplc="04100005" w:tentative="1">
      <w:start w:val="1"/>
      <w:numFmt w:val="bullet"/>
      <w:lvlText w:val=""/>
      <w:lvlJc w:val="left"/>
      <w:pPr>
        <w:ind w:left="7901" w:hanging="360"/>
      </w:pPr>
      <w:rPr>
        <w:rFonts w:ascii="Wingdings" w:hAnsi="Wingdings" w:hint="default"/>
      </w:rPr>
    </w:lvl>
  </w:abstractNum>
  <w:abstractNum w:abstractNumId="17" w15:restartNumberingAfterBreak="0">
    <w:nsid w:val="4BC807A5"/>
    <w:multiLevelType w:val="hybridMultilevel"/>
    <w:tmpl w:val="AB0A4FB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2D6F8C"/>
    <w:multiLevelType w:val="hybridMultilevel"/>
    <w:tmpl w:val="2BA4827C"/>
    <w:lvl w:ilvl="0" w:tplc="FFFFFFFF">
      <w:start w:val="1"/>
      <w:numFmt w:val="lowerLetter"/>
      <w:lvlText w:val="%1)"/>
      <w:lvlJc w:val="left"/>
      <w:pPr>
        <w:ind w:left="108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54383E6D"/>
    <w:multiLevelType w:val="hybridMultilevel"/>
    <w:tmpl w:val="7AA6CFC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83B166C"/>
    <w:multiLevelType w:val="hybridMultilevel"/>
    <w:tmpl w:val="E35A91A8"/>
    <w:lvl w:ilvl="0" w:tplc="58D8F040">
      <w:start w:val="1"/>
      <w:numFmt w:val="lowerLetter"/>
      <w:lvlText w:val="%1."/>
      <w:lvlJc w:val="left"/>
      <w:pPr>
        <w:ind w:left="1440" w:hanging="360"/>
      </w:pPr>
      <w:rPr>
        <w:strike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1B07B0B"/>
    <w:multiLevelType w:val="hybridMultilevel"/>
    <w:tmpl w:val="691491A6"/>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62EA75B4"/>
    <w:multiLevelType w:val="hybridMultilevel"/>
    <w:tmpl w:val="C1241D3E"/>
    <w:lvl w:ilvl="0" w:tplc="FFFFFFFF">
      <w:start w:val="1"/>
      <w:numFmt w:val="upperRoman"/>
      <w:lvlText w:val="%1."/>
      <w:lvlJc w:val="right"/>
      <w:pPr>
        <w:ind w:left="1776" w:hanging="36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23" w15:restartNumberingAfterBreak="0">
    <w:nsid w:val="6354630B"/>
    <w:multiLevelType w:val="hybridMultilevel"/>
    <w:tmpl w:val="192288AE"/>
    <w:lvl w:ilvl="0" w:tplc="0DCE1DAE">
      <w:start w:val="3"/>
      <w:numFmt w:val="lowerLetter"/>
      <w:lvlText w:val="%1."/>
      <w:lvlJc w:val="left"/>
      <w:pPr>
        <w:ind w:left="1440" w:hanging="360"/>
      </w:pPr>
      <w:rPr>
        <w:rFonts w:hint="default"/>
        <w:b w:val="0"/>
        <w:bCs/>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E0F7785"/>
    <w:multiLevelType w:val="hybridMultilevel"/>
    <w:tmpl w:val="429E1826"/>
    <w:lvl w:ilvl="0" w:tplc="C092207E">
      <w:start w:val="1"/>
      <w:numFmt w:val="decimal"/>
      <w:lvlText w:val="%1."/>
      <w:lvlJc w:val="left"/>
      <w:pPr>
        <w:ind w:left="720" w:hanging="360"/>
      </w:pPr>
      <w:rPr>
        <w:rFonts w:asciiTheme="minorHAnsi" w:eastAsia="Calibri" w:hAnsiTheme="minorHAnsi" w:cs="Calibri" w:hint="default"/>
        <w:strike w:val="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F9E4E64"/>
    <w:multiLevelType w:val="hybridMultilevel"/>
    <w:tmpl w:val="51A48994"/>
    <w:lvl w:ilvl="0" w:tplc="FF621DD4">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7023465B"/>
    <w:multiLevelType w:val="hybridMultilevel"/>
    <w:tmpl w:val="833650D6"/>
    <w:lvl w:ilvl="0" w:tplc="88F6BB6C">
      <w:start w:val="1"/>
      <w:numFmt w:val="decimal"/>
      <w:lvlText w:val="%1."/>
      <w:lvlJc w:val="left"/>
      <w:pPr>
        <w:ind w:left="720" w:hanging="360"/>
      </w:pPr>
      <w:rPr>
        <w:rFonts w:ascii="Century Gothic" w:hAnsi="Century Gothic" w:hint="default"/>
        <w:b w:val="0"/>
        <w:bCs w:val="0"/>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08F6930"/>
    <w:multiLevelType w:val="hybridMultilevel"/>
    <w:tmpl w:val="2CDA29FC"/>
    <w:lvl w:ilvl="0" w:tplc="15581B34">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83E22B0"/>
    <w:multiLevelType w:val="hybridMultilevel"/>
    <w:tmpl w:val="4EF20626"/>
    <w:lvl w:ilvl="0" w:tplc="37F0499C">
      <w:start w:val="1"/>
      <w:numFmt w:val="decimal"/>
      <w:lvlText w:val="%1."/>
      <w:lvlJc w:val="left"/>
      <w:pPr>
        <w:ind w:left="720" w:hanging="360"/>
      </w:pPr>
      <w:rPr>
        <w:rFonts w:asciiTheme="minorHAnsi" w:eastAsia="Calibri" w:hAnsiTheme="minorHAnsi" w:cs="Calibri"/>
      </w:rPr>
    </w:lvl>
    <w:lvl w:ilvl="1" w:tplc="04100015">
      <w:start w:val="1"/>
      <w:numFmt w:val="upperLetter"/>
      <w:lvlText w:val="%2."/>
      <w:lvlJc w:val="left"/>
      <w:pPr>
        <w:ind w:left="1440" w:hanging="360"/>
      </w:pPr>
    </w:lvl>
    <w:lvl w:ilvl="2" w:tplc="04100019">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DDE0E0D"/>
    <w:multiLevelType w:val="hybridMultilevel"/>
    <w:tmpl w:val="6F50D4A4"/>
    <w:lvl w:ilvl="0" w:tplc="20D2820C">
      <w:start w:val="5"/>
      <w:numFmt w:val="decimal"/>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F937867"/>
    <w:multiLevelType w:val="hybridMultilevel"/>
    <w:tmpl w:val="8F3209FA"/>
    <w:lvl w:ilvl="0" w:tplc="3648D7BA">
      <w:start w:val="1"/>
      <w:numFmt w:val="decimal"/>
      <w:lvlText w:val="%1."/>
      <w:lvlJc w:val="left"/>
      <w:pPr>
        <w:ind w:left="720" w:hanging="360"/>
      </w:pPr>
      <w:rPr>
        <w:rFonts w:asciiTheme="minorHAnsi" w:eastAsia="Calibri" w:hAnsiTheme="minorHAnsi" w:cs="Calibr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19327">
    <w:abstractNumId w:val="5"/>
  </w:num>
  <w:num w:numId="2" w16cid:durableId="446777786">
    <w:abstractNumId w:val="13"/>
  </w:num>
  <w:num w:numId="3" w16cid:durableId="695665475">
    <w:abstractNumId w:val="18"/>
  </w:num>
  <w:num w:numId="4" w16cid:durableId="336227730">
    <w:abstractNumId w:val="2"/>
  </w:num>
  <w:num w:numId="5" w16cid:durableId="376978842">
    <w:abstractNumId w:val="8"/>
  </w:num>
  <w:num w:numId="6" w16cid:durableId="1736272834">
    <w:abstractNumId w:val="7"/>
  </w:num>
  <w:num w:numId="7" w16cid:durableId="2100980074">
    <w:abstractNumId w:val="21"/>
  </w:num>
  <w:num w:numId="8" w16cid:durableId="2146458848">
    <w:abstractNumId w:val="12"/>
  </w:num>
  <w:num w:numId="9" w16cid:durableId="1453089132">
    <w:abstractNumId w:val="0"/>
  </w:num>
  <w:num w:numId="10" w16cid:durableId="1885216831">
    <w:abstractNumId w:val="20"/>
  </w:num>
  <w:num w:numId="11" w16cid:durableId="995914447">
    <w:abstractNumId w:val="22"/>
  </w:num>
  <w:num w:numId="12" w16cid:durableId="2008555250">
    <w:abstractNumId w:val="23"/>
  </w:num>
  <w:num w:numId="13" w16cid:durableId="1230270413">
    <w:abstractNumId w:val="16"/>
  </w:num>
  <w:num w:numId="14" w16cid:durableId="639195084">
    <w:abstractNumId w:val="27"/>
  </w:num>
  <w:num w:numId="15" w16cid:durableId="670569708">
    <w:abstractNumId w:val="14"/>
  </w:num>
  <w:num w:numId="16" w16cid:durableId="1979457520">
    <w:abstractNumId w:val="1"/>
  </w:num>
  <w:num w:numId="17" w16cid:durableId="450054021">
    <w:abstractNumId w:val="29"/>
  </w:num>
  <w:num w:numId="18" w16cid:durableId="1084960914">
    <w:abstractNumId w:val="6"/>
  </w:num>
  <w:num w:numId="19" w16cid:durableId="1331173450">
    <w:abstractNumId w:val="9"/>
  </w:num>
  <w:num w:numId="20" w16cid:durableId="1432387192">
    <w:abstractNumId w:val="4"/>
  </w:num>
  <w:num w:numId="21" w16cid:durableId="1808547021">
    <w:abstractNumId w:val="17"/>
  </w:num>
  <w:num w:numId="22" w16cid:durableId="1745448737">
    <w:abstractNumId w:val="28"/>
  </w:num>
  <w:num w:numId="23" w16cid:durableId="493297831">
    <w:abstractNumId w:val="11"/>
  </w:num>
  <w:num w:numId="24" w16cid:durableId="205458155">
    <w:abstractNumId w:val="24"/>
  </w:num>
  <w:num w:numId="25" w16cid:durableId="1898978435">
    <w:abstractNumId w:val="30"/>
  </w:num>
  <w:num w:numId="26" w16cid:durableId="1104619139">
    <w:abstractNumId w:val="10"/>
  </w:num>
  <w:num w:numId="27" w16cid:durableId="855197948">
    <w:abstractNumId w:val="3"/>
  </w:num>
  <w:num w:numId="28" w16cid:durableId="1157187834">
    <w:abstractNumId w:val="26"/>
  </w:num>
  <w:num w:numId="29" w16cid:durableId="6446309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68452060">
    <w:abstractNumId w:val="15"/>
  </w:num>
  <w:num w:numId="31" w16cid:durableId="166889919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4AB"/>
    <w:rsid w:val="00023B0B"/>
    <w:rsid w:val="00051EF6"/>
    <w:rsid w:val="00053B35"/>
    <w:rsid w:val="00090C5D"/>
    <w:rsid w:val="000A21EA"/>
    <w:rsid w:val="000B15E9"/>
    <w:rsid w:val="000E7F31"/>
    <w:rsid w:val="000F4928"/>
    <w:rsid w:val="00103385"/>
    <w:rsid w:val="00127DA5"/>
    <w:rsid w:val="0015107E"/>
    <w:rsid w:val="00152632"/>
    <w:rsid w:val="00194490"/>
    <w:rsid w:val="001B4925"/>
    <w:rsid w:val="00235A48"/>
    <w:rsid w:val="00243435"/>
    <w:rsid w:val="00261E2D"/>
    <w:rsid w:val="0029776F"/>
    <w:rsid w:val="00297BB3"/>
    <w:rsid w:val="002B225D"/>
    <w:rsid w:val="002C138B"/>
    <w:rsid w:val="002D2BFB"/>
    <w:rsid w:val="002F0CB5"/>
    <w:rsid w:val="00314A93"/>
    <w:rsid w:val="00322CB0"/>
    <w:rsid w:val="003234BD"/>
    <w:rsid w:val="00351D83"/>
    <w:rsid w:val="003549E7"/>
    <w:rsid w:val="00362FE3"/>
    <w:rsid w:val="00375E83"/>
    <w:rsid w:val="003A32EA"/>
    <w:rsid w:val="003B4E56"/>
    <w:rsid w:val="003C163E"/>
    <w:rsid w:val="003E18AE"/>
    <w:rsid w:val="00402ACA"/>
    <w:rsid w:val="004032CD"/>
    <w:rsid w:val="0048529A"/>
    <w:rsid w:val="004A4BB3"/>
    <w:rsid w:val="005061B8"/>
    <w:rsid w:val="00512440"/>
    <w:rsid w:val="00515915"/>
    <w:rsid w:val="00521030"/>
    <w:rsid w:val="00550D65"/>
    <w:rsid w:val="00565231"/>
    <w:rsid w:val="005A03F8"/>
    <w:rsid w:val="005D237B"/>
    <w:rsid w:val="006151BC"/>
    <w:rsid w:val="00621EDA"/>
    <w:rsid w:val="006248E8"/>
    <w:rsid w:val="006267D1"/>
    <w:rsid w:val="00643820"/>
    <w:rsid w:val="00643821"/>
    <w:rsid w:val="00646915"/>
    <w:rsid w:val="00696D28"/>
    <w:rsid w:val="006C541E"/>
    <w:rsid w:val="006D1EE5"/>
    <w:rsid w:val="006E7527"/>
    <w:rsid w:val="007224D7"/>
    <w:rsid w:val="00752566"/>
    <w:rsid w:val="00764CA9"/>
    <w:rsid w:val="0078271F"/>
    <w:rsid w:val="007C5918"/>
    <w:rsid w:val="00840F9F"/>
    <w:rsid w:val="008469EF"/>
    <w:rsid w:val="00871046"/>
    <w:rsid w:val="00916928"/>
    <w:rsid w:val="009229B1"/>
    <w:rsid w:val="00927DF0"/>
    <w:rsid w:val="009712B3"/>
    <w:rsid w:val="00987286"/>
    <w:rsid w:val="009C04ED"/>
    <w:rsid w:val="00A006A7"/>
    <w:rsid w:val="00A6445C"/>
    <w:rsid w:val="00A66823"/>
    <w:rsid w:val="00A76039"/>
    <w:rsid w:val="00A81AD7"/>
    <w:rsid w:val="00AE681B"/>
    <w:rsid w:val="00B23867"/>
    <w:rsid w:val="00B25FDD"/>
    <w:rsid w:val="00B6491D"/>
    <w:rsid w:val="00B83313"/>
    <w:rsid w:val="00BC1B90"/>
    <w:rsid w:val="00BC3CCC"/>
    <w:rsid w:val="00BD4881"/>
    <w:rsid w:val="00BD6192"/>
    <w:rsid w:val="00C05DE7"/>
    <w:rsid w:val="00C273B2"/>
    <w:rsid w:val="00C413AC"/>
    <w:rsid w:val="00C50466"/>
    <w:rsid w:val="00C5654C"/>
    <w:rsid w:val="00C63256"/>
    <w:rsid w:val="00C71D3A"/>
    <w:rsid w:val="00C81318"/>
    <w:rsid w:val="00C94EDF"/>
    <w:rsid w:val="00C96FD2"/>
    <w:rsid w:val="00CA7540"/>
    <w:rsid w:val="00CB3061"/>
    <w:rsid w:val="00CB70AA"/>
    <w:rsid w:val="00CF6023"/>
    <w:rsid w:val="00D06AD0"/>
    <w:rsid w:val="00D374AB"/>
    <w:rsid w:val="00D6620A"/>
    <w:rsid w:val="00D769DD"/>
    <w:rsid w:val="00D81D60"/>
    <w:rsid w:val="00DB4D7A"/>
    <w:rsid w:val="00E31554"/>
    <w:rsid w:val="00E31583"/>
    <w:rsid w:val="00E422AF"/>
    <w:rsid w:val="00EA0815"/>
    <w:rsid w:val="00EB2AB7"/>
    <w:rsid w:val="00EE26F3"/>
    <w:rsid w:val="00EE460B"/>
    <w:rsid w:val="00EF42B0"/>
    <w:rsid w:val="00F23599"/>
    <w:rsid w:val="00F7072D"/>
    <w:rsid w:val="00F853B8"/>
    <w:rsid w:val="00F9262A"/>
    <w:rsid w:val="00FE3D42"/>
    <w:rsid w:val="00FE6C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B4E7D"/>
  <w15:chartTrackingRefBased/>
  <w15:docId w15:val="{6594B357-4DBF-4386-A7B2-381EE1FFE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374AB"/>
    <w:rPr>
      <w:rFonts w:ascii="Calibri" w:eastAsia="Calibri" w:hAnsi="Calibri" w:cs="Calibri"/>
      <w:kern w:val="0"/>
      <w:lang w:eastAsia="it-IT"/>
      <w14:ligatures w14:val="none"/>
    </w:rPr>
  </w:style>
  <w:style w:type="paragraph" w:styleId="Titolo1">
    <w:name w:val="heading 1"/>
    <w:basedOn w:val="Normale"/>
    <w:next w:val="Normale"/>
    <w:link w:val="Titolo1Carattere"/>
    <w:uiPriority w:val="9"/>
    <w:qFormat/>
    <w:rsid w:val="00D374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374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374AB"/>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374AB"/>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374AB"/>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374A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374A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374A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374A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374AB"/>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374AB"/>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374AB"/>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374AB"/>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374AB"/>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374A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374A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374A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374AB"/>
    <w:rPr>
      <w:rFonts w:eastAsiaTheme="majorEastAsia" w:cstheme="majorBidi"/>
      <w:color w:val="272727" w:themeColor="text1" w:themeTint="D8"/>
    </w:rPr>
  </w:style>
  <w:style w:type="paragraph" w:styleId="Titolo">
    <w:name w:val="Title"/>
    <w:basedOn w:val="Normale"/>
    <w:next w:val="Normale"/>
    <w:link w:val="TitoloCarattere"/>
    <w:uiPriority w:val="10"/>
    <w:qFormat/>
    <w:rsid w:val="00D374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374A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374A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374A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374A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374AB"/>
    <w:rPr>
      <w:i/>
      <w:iCs/>
      <w:color w:val="404040" w:themeColor="text1" w:themeTint="BF"/>
    </w:rPr>
  </w:style>
  <w:style w:type="paragraph" w:styleId="Paragrafoelenco">
    <w:name w:val="List Paragraph"/>
    <w:basedOn w:val="Normale"/>
    <w:uiPriority w:val="34"/>
    <w:qFormat/>
    <w:rsid w:val="00D374AB"/>
    <w:pPr>
      <w:ind w:left="720"/>
      <w:contextualSpacing/>
    </w:pPr>
  </w:style>
  <w:style w:type="character" w:styleId="Enfasiintensa">
    <w:name w:val="Intense Emphasis"/>
    <w:basedOn w:val="Carpredefinitoparagrafo"/>
    <w:uiPriority w:val="21"/>
    <w:qFormat/>
    <w:rsid w:val="00D374AB"/>
    <w:rPr>
      <w:i/>
      <w:iCs/>
      <w:color w:val="0F4761" w:themeColor="accent1" w:themeShade="BF"/>
    </w:rPr>
  </w:style>
  <w:style w:type="paragraph" w:styleId="Citazioneintensa">
    <w:name w:val="Intense Quote"/>
    <w:basedOn w:val="Normale"/>
    <w:next w:val="Normale"/>
    <w:link w:val="CitazioneintensaCarattere"/>
    <w:uiPriority w:val="30"/>
    <w:qFormat/>
    <w:rsid w:val="00D374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374AB"/>
    <w:rPr>
      <w:i/>
      <w:iCs/>
      <w:color w:val="0F4761" w:themeColor="accent1" w:themeShade="BF"/>
    </w:rPr>
  </w:style>
  <w:style w:type="character" w:styleId="Riferimentointenso">
    <w:name w:val="Intense Reference"/>
    <w:basedOn w:val="Carpredefinitoparagrafo"/>
    <w:uiPriority w:val="32"/>
    <w:qFormat/>
    <w:rsid w:val="00D374AB"/>
    <w:rPr>
      <w:b/>
      <w:bCs/>
      <w:smallCaps/>
      <w:color w:val="0F4761" w:themeColor="accent1" w:themeShade="BF"/>
      <w:spacing w:val="5"/>
    </w:rPr>
  </w:style>
  <w:style w:type="paragraph" w:styleId="Testonotaapidipagina">
    <w:name w:val="footnote text"/>
    <w:basedOn w:val="Normale"/>
    <w:link w:val="TestonotaapidipaginaCarattere"/>
    <w:uiPriority w:val="99"/>
    <w:semiHidden/>
    <w:unhideWhenUsed/>
    <w:rsid w:val="00B25FDD"/>
    <w:pPr>
      <w:spacing w:after="0" w:line="240" w:lineRule="auto"/>
    </w:pPr>
    <w:rPr>
      <w:rFonts w:asciiTheme="minorHAnsi" w:eastAsiaTheme="minorHAnsi" w:hAnsiTheme="minorHAnsi" w:cstheme="minorBidi"/>
      <w:kern w:val="2"/>
      <w:sz w:val="20"/>
      <w:szCs w:val="20"/>
      <w:lang w:eastAsia="en-US"/>
      <w14:ligatures w14:val="standardContextual"/>
    </w:rPr>
  </w:style>
  <w:style w:type="character" w:customStyle="1" w:styleId="TestonotaapidipaginaCarattere">
    <w:name w:val="Testo nota a piè di pagina Carattere"/>
    <w:basedOn w:val="Carpredefinitoparagrafo"/>
    <w:link w:val="Testonotaapidipagina"/>
    <w:uiPriority w:val="99"/>
    <w:semiHidden/>
    <w:rsid w:val="00B25FDD"/>
    <w:rPr>
      <w:sz w:val="20"/>
      <w:szCs w:val="20"/>
    </w:rPr>
  </w:style>
  <w:style w:type="character" w:styleId="Rimandonotaapidipagina">
    <w:name w:val="footnote reference"/>
    <w:basedOn w:val="Carpredefinitoparagrafo"/>
    <w:uiPriority w:val="99"/>
    <w:semiHidden/>
    <w:unhideWhenUsed/>
    <w:rsid w:val="00B25FDD"/>
    <w:rPr>
      <w:vertAlign w:val="superscript"/>
    </w:rPr>
  </w:style>
  <w:style w:type="paragraph" w:styleId="Revisione">
    <w:name w:val="Revision"/>
    <w:hidden/>
    <w:uiPriority w:val="99"/>
    <w:semiHidden/>
    <w:rsid w:val="000B15E9"/>
    <w:pPr>
      <w:spacing w:after="0" w:line="240" w:lineRule="auto"/>
    </w:pPr>
    <w:rPr>
      <w:rFonts w:ascii="Calibri" w:eastAsia="Calibri" w:hAnsi="Calibri" w:cs="Calibri"/>
      <w:kern w:val="0"/>
      <w:lang w:eastAsia="it-IT"/>
      <w14:ligatures w14:val="none"/>
    </w:rPr>
  </w:style>
  <w:style w:type="character" w:styleId="Rimandocommento">
    <w:name w:val="annotation reference"/>
    <w:basedOn w:val="Carpredefinitoparagrafo"/>
    <w:uiPriority w:val="99"/>
    <w:semiHidden/>
    <w:unhideWhenUsed/>
    <w:rsid w:val="000B15E9"/>
    <w:rPr>
      <w:sz w:val="16"/>
      <w:szCs w:val="16"/>
    </w:rPr>
  </w:style>
  <w:style w:type="paragraph" w:styleId="Testocommento">
    <w:name w:val="annotation text"/>
    <w:basedOn w:val="Normale"/>
    <w:link w:val="TestocommentoCarattere"/>
    <w:uiPriority w:val="99"/>
    <w:unhideWhenUsed/>
    <w:rsid w:val="000B15E9"/>
    <w:pPr>
      <w:spacing w:line="240" w:lineRule="auto"/>
    </w:pPr>
    <w:rPr>
      <w:sz w:val="20"/>
      <w:szCs w:val="20"/>
    </w:rPr>
  </w:style>
  <w:style w:type="character" w:customStyle="1" w:styleId="TestocommentoCarattere">
    <w:name w:val="Testo commento Carattere"/>
    <w:basedOn w:val="Carpredefinitoparagrafo"/>
    <w:link w:val="Testocommento"/>
    <w:uiPriority w:val="99"/>
    <w:rsid w:val="000B15E9"/>
    <w:rPr>
      <w:rFonts w:ascii="Calibri" w:eastAsia="Calibri" w:hAnsi="Calibri" w:cs="Calibri"/>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0B15E9"/>
    <w:rPr>
      <w:b/>
      <w:bCs/>
    </w:rPr>
  </w:style>
  <w:style w:type="character" w:customStyle="1" w:styleId="SoggettocommentoCarattere">
    <w:name w:val="Soggetto commento Carattere"/>
    <w:basedOn w:val="TestocommentoCarattere"/>
    <w:link w:val="Soggettocommento"/>
    <w:uiPriority w:val="99"/>
    <w:semiHidden/>
    <w:rsid w:val="000B15E9"/>
    <w:rPr>
      <w:rFonts w:ascii="Calibri" w:eastAsia="Calibri" w:hAnsi="Calibri" w:cs="Calibri"/>
      <w:b/>
      <w:bCs/>
      <w:kern w:val="0"/>
      <w:sz w:val="20"/>
      <w:szCs w:val="20"/>
      <w:lang w:eastAsia="it-IT"/>
      <w14:ligatures w14:val="none"/>
    </w:rPr>
  </w:style>
  <w:style w:type="table" w:styleId="Grigliatabella">
    <w:name w:val="Table Grid"/>
    <w:basedOn w:val="Tabellanormale"/>
    <w:uiPriority w:val="39"/>
    <w:rsid w:val="00696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718695">
      <w:bodyDiv w:val="1"/>
      <w:marLeft w:val="0"/>
      <w:marRight w:val="0"/>
      <w:marTop w:val="0"/>
      <w:marBottom w:val="0"/>
      <w:divBdr>
        <w:top w:val="none" w:sz="0" w:space="0" w:color="auto"/>
        <w:left w:val="none" w:sz="0" w:space="0" w:color="auto"/>
        <w:bottom w:val="none" w:sz="0" w:space="0" w:color="auto"/>
        <w:right w:val="none" w:sz="0" w:space="0" w:color="auto"/>
      </w:divBdr>
    </w:div>
    <w:div w:id="15576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058FD-BDF0-4B0D-89DD-DA5592723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3481</Words>
  <Characters>19846</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Nardo</dc:creator>
  <cp:keywords/>
  <dc:description/>
  <cp:lastModifiedBy>Assoambiente</cp:lastModifiedBy>
  <cp:revision>2</cp:revision>
  <cp:lastPrinted>2024-09-27T13:33:00Z</cp:lastPrinted>
  <dcterms:created xsi:type="dcterms:W3CDTF">2024-10-11T13:45:00Z</dcterms:created>
  <dcterms:modified xsi:type="dcterms:W3CDTF">2024-10-11T13:45:00Z</dcterms:modified>
</cp:coreProperties>
</file>