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AAF4B" w14:textId="77777777" w:rsidR="00C62D94" w:rsidRPr="00390366" w:rsidRDefault="00C62D94" w:rsidP="00C62D94">
      <w:pPr>
        <w:jc w:val="both"/>
        <w:rPr>
          <w:rFonts w:ascii="Arial" w:hAnsi="Arial" w:cs="Arial"/>
          <w:b/>
          <w:bCs/>
          <w:i/>
          <w:iCs/>
          <w:sz w:val="24"/>
          <w:szCs w:val="24"/>
          <w:lang w:val="it-IT"/>
        </w:rPr>
      </w:pPr>
    </w:p>
    <w:tbl>
      <w:tblPr>
        <w:tblStyle w:val="Grigliatabella"/>
        <w:tblW w:w="9609" w:type="dxa"/>
        <w:tblInd w:w="-314" w:type="dxa"/>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4A0" w:firstRow="1" w:lastRow="0" w:firstColumn="1" w:lastColumn="0" w:noHBand="0" w:noVBand="1"/>
      </w:tblPr>
      <w:tblGrid>
        <w:gridCol w:w="9609"/>
      </w:tblGrid>
      <w:tr w:rsidR="00C62D94" w:rsidRPr="00C86809" w14:paraId="129856A2" w14:textId="77777777" w:rsidTr="00C86809">
        <w:tc>
          <w:tcPr>
            <w:tcW w:w="9609" w:type="dxa"/>
          </w:tcPr>
          <w:p w14:paraId="4F94A275" w14:textId="2859D7B1" w:rsidR="00594940" w:rsidRDefault="00C62D94" w:rsidP="00912D78">
            <w:pPr>
              <w:jc w:val="center"/>
              <w:rPr>
                <w:rFonts w:ascii="Arial" w:hAnsi="Arial" w:cs="Arial"/>
                <w:b/>
                <w:bCs/>
                <w:i/>
                <w:iCs/>
                <w:sz w:val="28"/>
                <w:szCs w:val="28"/>
                <w:lang w:val="it-IT"/>
              </w:rPr>
            </w:pPr>
            <w:r w:rsidRPr="00C62D94">
              <w:rPr>
                <w:rFonts w:ascii="Arial" w:hAnsi="Arial" w:cs="Arial"/>
                <w:b/>
                <w:bCs/>
                <w:i/>
                <w:iCs/>
                <w:sz w:val="28"/>
                <w:szCs w:val="28"/>
                <w:lang w:val="x-none"/>
              </w:rPr>
              <w:t>DOCUMENTO PER LA CONSULTAZIONE</w:t>
            </w:r>
            <w:r w:rsidRPr="00C62D94">
              <w:rPr>
                <w:rFonts w:ascii="Arial" w:hAnsi="Arial" w:cs="Arial"/>
                <w:b/>
                <w:bCs/>
                <w:i/>
                <w:iCs/>
                <w:sz w:val="28"/>
                <w:szCs w:val="28"/>
                <w:lang w:val="it-IT"/>
              </w:rPr>
              <w:t xml:space="preserve"> ARERA </w:t>
            </w:r>
            <w:r w:rsidR="00C42EED" w:rsidRPr="00C42EED">
              <w:rPr>
                <w:rFonts w:ascii="Arial" w:hAnsi="Arial" w:cs="Arial"/>
                <w:b/>
                <w:bCs/>
                <w:i/>
                <w:iCs/>
                <w:sz w:val="28"/>
                <w:szCs w:val="28"/>
                <w:lang w:val="it-IT"/>
              </w:rPr>
              <w:t>14</w:t>
            </w:r>
            <w:r w:rsidR="000039A8">
              <w:rPr>
                <w:rFonts w:ascii="Arial" w:hAnsi="Arial" w:cs="Arial"/>
                <w:b/>
                <w:bCs/>
                <w:i/>
                <w:iCs/>
                <w:sz w:val="28"/>
                <w:szCs w:val="28"/>
                <w:lang w:val="it-IT"/>
              </w:rPr>
              <w:t>6</w:t>
            </w:r>
            <w:r w:rsidR="00C42EED" w:rsidRPr="00C42EED">
              <w:rPr>
                <w:rFonts w:ascii="Arial" w:hAnsi="Arial" w:cs="Arial"/>
                <w:b/>
                <w:bCs/>
                <w:i/>
                <w:iCs/>
                <w:sz w:val="28"/>
                <w:szCs w:val="28"/>
                <w:lang w:val="it-IT"/>
              </w:rPr>
              <w:t>/2025/R/RIF</w:t>
            </w:r>
            <w:r w:rsidR="00C42EED">
              <w:rPr>
                <w:rFonts w:ascii="Arial" w:hAnsi="Arial" w:cs="Arial"/>
                <w:b/>
                <w:bCs/>
                <w:i/>
                <w:iCs/>
                <w:sz w:val="28"/>
                <w:szCs w:val="28"/>
                <w:lang w:val="it-IT"/>
              </w:rPr>
              <w:t xml:space="preserve"> </w:t>
            </w:r>
          </w:p>
          <w:p w14:paraId="2178509C" w14:textId="10E43916" w:rsidR="00C62D94" w:rsidRPr="00912D78" w:rsidRDefault="00C62D94" w:rsidP="00C86809">
            <w:pPr>
              <w:ind w:left="-2" w:firstLine="2"/>
              <w:jc w:val="center"/>
              <w:rPr>
                <w:rFonts w:ascii="Arial" w:hAnsi="Arial" w:cs="Arial"/>
                <w:b/>
                <w:bCs/>
                <w:i/>
                <w:iCs/>
                <w:sz w:val="28"/>
                <w:szCs w:val="28"/>
                <w:lang w:val="x-none"/>
              </w:rPr>
            </w:pPr>
            <w:r w:rsidRPr="00C62D94">
              <w:rPr>
                <w:rFonts w:ascii="Arial" w:hAnsi="Arial" w:cs="Arial"/>
                <w:b/>
                <w:bCs/>
                <w:i/>
                <w:iCs/>
                <w:sz w:val="28"/>
                <w:szCs w:val="28"/>
                <w:lang w:val="x-none"/>
              </w:rPr>
              <w:t>riguardante “</w:t>
            </w:r>
            <w:r w:rsidR="00594940" w:rsidRPr="00912D78">
              <w:rPr>
                <w:rFonts w:ascii="Arial" w:hAnsi="Arial" w:cs="Arial"/>
                <w:b/>
                <w:bCs/>
                <w:i/>
                <w:iCs/>
                <w:sz w:val="28"/>
                <w:szCs w:val="28"/>
                <w:lang w:val="x-none"/>
              </w:rPr>
              <w:t xml:space="preserve"> </w:t>
            </w:r>
            <w:r w:rsidR="000039A8" w:rsidRPr="000039A8">
              <w:rPr>
                <w:rFonts w:ascii="Arial" w:hAnsi="Arial" w:cs="Arial"/>
                <w:b/>
                <w:bCs/>
                <w:i/>
                <w:iCs/>
                <w:sz w:val="28"/>
                <w:szCs w:val="28"/>
                <w:lang w:val="x-none"/>
              </w:rPr>
              <w:t>PRIMI ORIENTAMENTI PER L’INTRODUZIONE DELLA SEPARAZIONE CONTABILE E AMMINISTRATIVA NEL SETTORE DEI RIFIUTI URBANI</w:t>
            </w:r>
            <w:r w:rsidR="00594940" w:rsidRPr="00912D78">
              <w:rPr>
                <w:rFonts w:ascii="Arial" w:hAnsi="Arial" w:cs="Arial"/>
                <w:b/>
                <w:bCs/>
                <w:i/>
                <w:iCs/>
                <w:sz w:val="28"/>
                <w:szCs w:val="28"/>
                <w:lang w:val="x-none"/>
              </w:rPr>
              <w:t>”</w:t>
            </w:r>
          </w:p>
          <w:p w14:paraId="3E696021" w14:textId="77777777" w:rsidR="00594940" w:rsidRPr="00594940" w:rsidRDefault="00594940" w:rsidP="00594940">
            <w:pPr>
              <w:jc w:val="both"/>
              <w:rPr>
                <w:rFonts w:ascii="Arial" w:hAnsi="Arial" w:cs="Arial"/>
                <w:b/>
                <w:bCs/>
                <w:i/>
                <w:iCs/>
                <w:sz w:val="28"/>
                <w:szCs w:val="28"/>
                <w:lang w:val="it-IT"/>
              </w:rPr>
            </w:pPr>
          </w:p>
          <w:p w14:paraId="1FB92679" w14:textId="0CC685BD" w:rsidR="00C62D94" w:rsidRDefault="00C42EED" w:rsidP="001F19C6">
            <w:pPr>
              <w:jc w:val="center"/>
              <w:rPr>
                <w:rFonts w:ascii="Arial" w:hAnsi="Arial" w:cs="Arial"/>
                <w:b/>
                <w:bCs/>
                <w:i/>
                <w:iCs/>
                <w:color w:val="C00000"/>
                <w:sz w:val="24"/>
                <w:szCs w:val="24"/>
                <w:lang w:val="it-IT"/>
              </w:rPr>
            </w:pPr>
            <w:r>
              <w:rPr>
                <w:rFonts w:ascii="Arial" w:hAnsi="Arial" w:cs="Arial"/>
                <w:b/>
                <w:bCs/>
                <w:i/>
                <w:iCs/>
                <w:color w:val="C00000"/>
                <w:sz w:val="24"/>
                <w:szCs w:val="24"/>
                <w:lang w:val="it-IT"/>
              </w:rPr>
              <w:t xml:space="preserve">osservazioni </w:t>
            </w:r>
            <w:r w:rsidR="00C62D94" w:rsidRPr="00C62D94">
              <w:rPr>
                <w:rFonts w:ascii="Arial" w:hAnsi="Arial" w:cs="Arial"/>
                <w:b/>
                <w:bCs/>
                <w:i/>
                <w:iCs/>
                <w:color w:val="C00000"/>
                <w:sz w:val="24"/>
                <w:szCs w:val="24"/>
                <w:lang w:val="it-IT"/>
              </w:rPr>
              <w:t>Assoambiente</w:t>
            </w:r>
          </w:p>
          <w:p w14:paraId="1D05B378" w14:textId="766667D1" w:rsidR="00C62D94" w:rsidRDefault="00C62D94" w:rsidP="001F19C6">
            <w:pPr>
              <w:jc w:val="center"/>
              <w:rPr>
                <w:rFonts w:ascii="Arial" w:hAnsi="Arial" w:cs="Arial"/>
                <w:b/>
                <w:bCs/>
                <w:i/>
                <w:iCs/>
                <w:color w:val="C00000"/>
                <w:sz w:val="24"/>
                <w:szCs w:val="24"/>
                <w:lang w:val="it-IT"/>
              </w:rPr>
            </w:pPr>
            <w:r>
              <w:rPr>
                <w:rFonts w:ascii="Arial" w:hAnsi="Arial" w:cs="Arial"/>
                <w:b/>
                <w:bCs/>
                <w:i/>
                <w:iCs/>
                <w:color w:val="C00000"/>
                <w:sz w:val="24"/>
                <w:szCs w:val="24"/>
                <w:lang w:val="it-IT"/>
              </w:rPr>
              <w:t xml:space="preserve">Invio a </w:t>
            </w:r>
            <w:hyperlink r:id="rId7" w:history="1">
              <w:r w:rsidRPr="002F7586">
                <w:rPr>
                  <w:rStyle w:val="Collegamentoipertestuale"/>
                  <w:rFonts w:ascii="Arial" w:hAnsi="Arial" w:cs="Arial"/>
                  <w:b/>
                  <w:bCs/>
                  <w:i/>
                  <w:iCs/>
                  <w:sz w:val="24"/>
                  <w:szCs w:val="24"/>
                  <w:lang w:val="it-IT"/>
                </w:rPr>
                <w:t>l.tosto@fise.org</w:t>
              </w:r>
            </w:hyperlink>
            <w:r>
              <w:rPr>
                <w:rFonts w:ascii="Arial" w:hAnsi="Arial" w:cs="Arial"/>
                <w:b/>
                <w:bCs/>
                <w:i/>
                <w:iCs/>
                <w:color w:val="C00000"/>
                <w:sz w:val="24"/>
                <w:szCs w:val="24"/>
                <w:lang w:val="it-IT"/>
              </w:rPr>
              <w:t xml:space="preserve"> entro </w:t>
            </w:r>
            <w:r w:rsidR="00BA0421">
              <w:rPr>
                <w:rFonts w:ascii="Arial" w:hAnsi="Arial" w:cs="Arial"/>
                <w:b/>
                <w:bCs/>
                <w:i/>
                <w:iCs/>
                <w:color w:val="C00000"/>
                <w:sz w:val="24"/>
                <w:szCs w:val="24"/>
                <w:lang w:val="it-IT"/>
              </w:rPr>
              <w:t xml:space="preserve">e non oltre </w:t>
            </w:r>
            <w:r>
              <w:rPr>
                <w:rFonts w:ascii="Arial" w:hAnsi="Arial" w:cs="Arial"/>
                <w:b/>
                <w:bCs/>
                <w:i/>
                <w:iCs/>
                <w:color w:val="C00000"/>
                <w:sz w:val="24"/>
                <w:szCs w:val="24"/>
                <w:lang w:val="it-IT"/>
              </w:rPr>
              <w:t>il</w:t>
            </w:r>
            <w:r w:rsidR="00912D78">
              <w:rPr>
                <w:rFonts w:ascii="Arial" w:hAnsi="Arial" w:cs="Arial"/>
                <w:b/>
                <w:bCs/>
                <w:i/>
                <w:iCs/>
                <w:color w:val="C00000"/>
                <w:sz w:val="24"/>
                <w:szCs w:val="24"/>
                <w:lang w:val="it-IT"/>
              </w:rPr>
              <w:t xml:space="preserve"> </w:t>
            </w:r>
            <w:r w:rsidR="00C42EED">
              <w:rPr>
                <w:rFonts w:ascii="Arial" w:hAnsi="Arial" w:cs="Arial"/>
                <w:b/>
                <w:bCs/>
                <w:i/>
                <w:iCs/>
                <w:color w:val="C00000"/>
                <w:sz w:val="24"/>
                <w:szCs w:val="24"/>
                <w:lang w:val="it-IT"/>
              </w:rPr>
              <w:t>30</w:t>
            </w:r>
            <w:r>
              <w:rPr>
                <w:rFonts w:ascii="Arial" w:hAnsi="Arial" w:cs="Arial"/>
                <w:b/>
                <w:bCs/>
                <w:i/>
                <w:iCs/>
                <w:color w:val="C00000"/>
                <w:sz w:val="24"/>
                <w:szCs w:val="24"/>
                <w:lang w:val="it-IT"/>
              </w:rPr>
              <w:t xml:space="preserve"> </w:t>
            </w:r>
            <w:r w:rsidR="00C42EED">
              <w:rPr>
                <w:rFonts w:ascii="Arial" w:hAnsi="Arial" w:cs="Arial"/>
                <w:b/>
                <w:bCs/>
                <w:i/>
                <w:iCs/>
                <w:color w:val="C00000"/>
                <w:sz w:val="24"/>
                <w:szCs w:val="24"/>
                <w:lang w:val="it-IT"/>
              </w:rPr>
              <w:t>aprile 2025</w:t>
            </w:r>
          </w:p>
          <w:p w14:paraId="7EC2CF51" w14:textId="77777777" w:rsidR="00C62D94" w:rsidRPr="00AE45F1" w:rsidRDefault="00C62D94" w:rsidP="001F19C6">
            <w:pPr>
              <w:jc w:val="center"/>
              <w:rPr>
                <w:rFonts w:ascii="Arial" w:hAnsi="Arial" w:cs="Arial"/>
                <w:b/>
                <w:bCs/>
                <w:i/>
                <w:iCs/>
                <w:sz w:val="24"/>
                <w:szCs w:val="24"/>
                <w:lang w:val="it-IT"/>
              </w:rPr>
            </w:pPr>
          </w:p>
        </w:tc>
      </w:tr>
    </w:tbl>
    <w:p w14:paraId="77E7FF43" w14:textId="77777777" w:rsidR="00C86809" w:rsidRPr="00C86809" w:rsidRDefault="00C86809" w:rsidP="00C62D94">
      <w:pPr>
        <w:jc w:val="center"/>
        <w:rPr>
          <w:rFonts w:ascii="Arial" w:hAnsi="Arial" w:cs="Arial"/>
          <w:b/>
          <w:bCs/>
          <w:i/>
          <w:iCs/>
          <w:sz w:val="6"/>
          <w:szCs w:val="6"/>
          <w:lang w:val="it-IT"/>
        </w:rPr>
      </w:pPr>
    </w:p>
    <w:p w14:paraId="7940303B" w14:textId="743A33F4" w:rsidR="00C62D94" w:rsidRPr="00390366" w:rsidRDefault="00C62D94" w:rsidP="00C62D94">
      <w:pPr>
        <w:jc w:val="center"/>
        <w:rPr>
          <w:rFonts w:ascii="Arial" w:hAnsi="Arial" w:cs="Arial"/>
          <w:b/>
          <w:bCs/>
          <w:i/>
          <w:iCs/>
          <w:sz w:val="24"/>
          <w:szCs w:val="24"/>
          <w:lang w:val="it-IT"/>
        </w:rPr>
      </w:pPr>
      <w:r>
        <w:rPr>
          <w:rFonts w:ascii="Arial" w:hAnsi="Arial" w:cs="Arial"/>
          <w:b/>
          <w:bCs/>
          <w:i/>
          <w:iCs/>
          <w:sz w:val="24"/>
          <w:szCs w:val="24"/>
          <w:lang w:val="it-IT"/>
        </w:rPr>
        <w:t>***</w:t>
      </w:r>
    </w:p>
    <w:p w14:paraId="17CE1ECA" w14:textId="77777777" w:rsidR="00C62D94" w:rsidRPr="00C86809" w:rsidRDefault="00C62D94" w:rsidP="00C62D94">
      <w:pPr>
        <w:jc w:val="both"/>
        <w:rPr>
          <w:rFonts w:ascii="Arial" w:hAnsi="Arial" w:cs="Arial"/>
          <w:b/>
          <w:bCs/>
          <w:i/>
          <w:iCs/>
          <w:sz w:val="6"/>
          <w:szCs w:val="6"/>
          <w:lang w:val="it-IT"/>
        </w:rPr>
      </w:pPr>
    </w:p>
    <w:tbl>
      <w:tblPr>
        <w:tblStyle w:val="Grigliatabella"/>
        <w:tblW w:w="9634" w:type="dxa"/>
        <w:tblInd w:w="-289" w:type="dxa"/>
        <w:tblLook w:val="04A0" w:firstRow="1" w:lastRow="0" w:firstColumn="1" w:lastColumn="0" w:noHBand="0" w:noVBand="1"/>
      </w:tblPr>
      <w:tblGrid>
        <w:gridCol w:w="9634"/>
      </w:tblGrid>
      <w:tr w:rsidR="00C62D94" w:rsidRPr="00C86809" w14:paraId="1A2B1EFE" w14:textId="77777777" w:rsidTr="00C86809">
        <w:tc>
          <w:tcPr>
            <w:tcW w:w="9634" w:type="dxa"/>
          </w:tcPr>
          <w:p w14:paraId="171B5C06" w14:textId="782D5988" w:rsidR="00277B9D" w:rsidRPr="00277B9D" w:rsidRDefault="00277B9D" w:rsidP="00293F06">
            <w:pPr>
              <w:jc w:val="center"/>
              <w:rPr>
                <w:rFonts w:ascii="Arial" w:hAnsi="Arial" w:cs="Arial"/>
                <w:b/>
                <w:bCs/>
                <w:sz w:val="28"/>
                <w:szCs w:val="28"/>
                <w:u w:val="single"/>
                <w:lang w:val="it-IT"/>
              </w:rPr>
            </w:pPr>
            <w:r w:rsidRPr="00277B9D">
              <w:rPr>
                <w:rFonts w:ascii="Arial" w:hAnsi="Arial" w:cs="Arial"/>
                <w:b/>
                <w:bCs/>
                <w:sz w:val="28"/>
                <w:szCs w:val="28"/>
                <w:u w:val="single"/>
                <w:lang w:val="it-IT"/>
              </w:rPr>
              <w:t>Motivare le risposte</w:t>
            </w:r>
          </w:p>
          <w:p w14:paraId="4F10BD27" w14:textId="77777777" w:rsidR="00C42EED" w:rsidRPr="00C86809" w:rsidRDefault="00C42EED" w:rsidP="00293F06">
            <w:pPr>
              <w:jc w:val="both"/>
              <w:rPr>
                <w:rFonts w:ascii="Arial" w:hAnsi="Arial" w:cs="Arial"/>
                <w:b/>
                <w:bCs/>
                <w:sz w:val="24"/>
                <w:szCs w:val="24"/>
                <w:u w:val="single"/>
                <w:lang w:val="it-IT"/>
              </w:rPr>
            </w:pPr>
          </w:p>
          <w:p w14:paraId="68BA31D9" w14:textId="77777777" w:rsidR="000039A8" w:rsidRPr="00C86809" w:rsidRDefault="000039A8" w:rsidP="000039A8">
            <w:pPr>
              <w:jc w:val="both"/>
              <w:rPr>
                <w:rFonts w:ascii="Arial" w:hAnsi="Arial" w:cs="Arial"/>
                <w:sz w:val="24"/>
                <w:szCs w:val="24"/>
                <w:lang w:val="it-IT"/>
              </w:rPr>
            </w:pPr>
          </w:p>
          <w:p w14:paraId="351EEFBE" w14:textId="32BA82A7" w:rsidR="000039A8" w:rsidRPr="00C86809" w:rsidRDefault="000039A8" w:rsidP="000039A8">
            <w:pPr>
              <w:jc w:val="both"/>
              <w:rPr>
                <w:rFonts w:ascii="Arial" w:hAnsi="Arial" w:cs="Arial"/>
                <w:b/>
                <w:bCs/>
                <w:sz w:val="24"/>
                <w:szCs w:val="24"/>
                <w:lang w:val="it-IT"/>
              </w:rPr>
            </w:pPr>
            <w:r w:rsidRPr="00C86809">
              <w:rPr>
                <w:rFonts w:ascii="Arial" w:hAnsi="Arial" w:cs="Arial"/>
                <w:b/>
                <w:bCs/>
                <w:sz w:val="24"/>
                <w:szCs w:val="24"/>
                <w:lang w:val="it-IT"/>
              </w:rPr>
              <w:t>Livello di disaggregazione delle poste economiche e patrimoniali</w:t>
            </w:r>
          </w:p>
          <w:p w14:paraId="4A174C90" w14:textId="5E69828A" w:rsidR="000039A8" w:rsidRPr="00C86809" w:rsidRDefault="000039A8" w:rsidP="000039A8">
            <w:pPr>
              <w:jc w:val="both"/>
              <w:rPr>
                <w:rFonts w:ascii="Arial" w:hAnsi="Arial" w:cs="Arial"/>
                <w:sz w:val="24"/>
                <w:szCs w:val="24"/>
                <w:lang w:val="it-IT"/>
              </w:rPr>
            </w:pPr>
            <w:r w:rsidRPr="00C86809">
              <w:rPr>
                <w:rFonts w:ascii="Arial" w:hAnsi="Arial" w:cs="Arial"/>
                <w:sz w:val="24"/>
                <w:szCs w:val="24"/>
                <w:lang w:val="it-IT"/>
              </w:rPr>
              <w:t xml:space="preserve">Q1. Quali si ritiene debbano essere le funzioni da identificare ai fini della separazione contabile delle poste di bilancio? </w:t>
            </w:r>
          </w:p>
          <w:p w14:paraId="7AE11E61" w14:textId="7431F826" w:rsidR="000039A8" w:rsidRPr="00C86809" w:rsidRDefault="000039A8" w:rsidP="000039A8">
            <w:pPr>
              <w:jc w:val="both"/>
              <w:rPr>
                <w:rFonts w:ascii="Arial" w:hAnsi="Arial" w:cs="Arial"/>
                <w:sz w:val="24"/>
                <w:szCs w:val="24"/>
                <w:lang w:val="it-IT"/>
              </w:rPr>
            </w:pPr>
            <w:r w:rsidRPr="00C86809">
              <w:rPr>
                <w:rFonts w:ascii="Arial" w:hAnsi="Arial" w:cs="Arial"/>
                <w:sz w:val="24"/>
                <w:szCs w:val="24"/>
                <w:lang w:val="it-IT"/>
              </w:rPr>
              <w:t xml:space="preserve">Q2. Si ritiene opportuno prevedere disaggregazioni delle partite economiche per filiere da avviare a riciclo? </w:t>
            </w:r>
          </w:p>
          <w:p w14:paraId="1E93CC55" w14:textId="10C1E411" w:rsidR="000039A8" w:rsidRPr="00C86809" w:rsidRDefault="000039A8" w:rsidP="000039A8">
            <w:pPr>
              <w:jc w:val="both"/>
              <w:rPr>
                <w:rFonts w:ascii="Arial" w:hAnsi="Arial" w:cs="Arial"/>
                <w:sz w:val="24"/>
                <w:szCs w:val="24"/>
                <w:lang w:val="it-IT"/>
              </w:rPr>
            </w:pPr>
            <w:r w:rsidRPr="00C86809">
              <w:rPr>
                <w:rFonts w:ascii="Arial" w:hAnsi="Arial" w:cs="Arial"/>
                <w:sz w:val="24"/>
                <w:szCs w:val="24"/>
                <w:lang w:val="it-IT"/>
              </w:rPr>
              <w:t xml:space="preserve">Q3. Rispetto alla disaggregazione per area geografica, si condivide l’ipotesi di individuare come livello rilevante ai fini della separazione contabile l’ambito tariffario, ferme restando le esigenze di valutare eventuali suddivisioni in lotti? </w:t>
            </w:r>
          </w:p>
          <w:p w14:paraId="448A37A1" w14:textId="79572448" w:rsidR="000039A8" w:rsidRPr="00C86809" w:rsidRDefault="000039A8" w:rsidP="000039A8">
            <w:pPr>
              <w:jc w:val="both"/>
              <w:rPr>
                <w:rFonts w:ascii="Arial" w:hAnsi="Arial" w:cs="Arial"/>
                <w:sz w:val="24"/>
                <w:szCs w:val="24"/>
                <w:lang w:val="it-IT"/>
              </w:rPr>
            </w:pPr>
            <w:r w:rsidRPr="00C86809">
              <w:rPr>
                <w:rFonts w:ascii="Arial" w:hAnsi="Arial" w:cs="Arial"/>
                <w:sz w:val="24"/>
                <w:szCs w:val="24"/>
                <w:lang w:val="it-IT"/>
              </w:rPr>
              <w:t xml:space="preserve">Q4. Rispetto all'ipotesi indicata nel paragrafo 6.10 si ritiene preferibile prevedere sin da subito la disaggregazione delle partite contabili per categoria di utenza? </w:t>
            </w:r>
          </w:p>
          <w:p w14:paraId="3EF6253D" w14:textId="77777777" w:rsidR="000039A8" w:rsidRPr="00C86809" w:rsidRDefault="000039A8" w:rsidP="000039A8">
            <w:pPr>
              <w:jc w:val="both"/>
              <w:rPr>
                <w:rFonts w:ascii="Arial" w:hAnsi="Arial" w:cs="Arial"/>
                <w:sz w:val="24"/>
                <w:szCs w:val="24"/>
                <w:lang w:val="it-IT"/>
              </w:rPr>
            </w:pPr>
          </w:p>
          <w:p w14:paraId="77133E89" w14:textId="400B124A" w:rsidR="000039A8" w:rsidRPr="00C86809" w:rsidRDefault="000039A8" w:rsidP="000039A8">
            <w:pPr>
              <w:jc w:val="both"/>
              <w:rPr>
                <w:rFonts w:ascii="Arial" w:hAnsi="Arial" w:cs="Arial"/>
                <w:b/>
                <w:bCs/>
                <w:sz w:val="24"/>
                <w:szCs w:val="24"/>
                <w:lang w:val="it-IT"/>
              </w:rPr>
            </w:pPr>
            <w:r w:rsidRPr="00C86809">
              <w:rPr>
                <w:rFonts w:ascii="Arial" w:hAnsi="Arial" w:cs="Arial"/>
                <w:b/>
                <w:bCs/>
                <w:sz w:val="24"/>
                <w:szCs w:val="24"/>
                <w:lang w:val="it-IT"/>
              </w:rPr>
              <w:t>Le unità logico-organizzative della separazione contabile</w:t>
            </w:r>
          </w:p>
          <w:p w14:paraId="10848CDF" w14:textId="1F17E2A2" w:rsidR="000039A8" w:rsidRPr="00C86809" w:rsidRDefault="000039A8" w:rsidP="000039A8">
            <w:pPr>
              <w:jc w:val="both"/>
              <w:rPr>
                <w:rFonts w:ascii="Arial" w:hAnsi="Arial" w:cs="Arial"/>
                <w:sz w:val="24"/>
                <w:szCs w:val="24"/>
                <w:lang w:val="it-IT"/>
              </w:rPr>
            </w:pPr>
            <w:r w:rsidRPr="00C86809">
              <w:rPr>
                <w:rFonts w:ascii="Arial" w:hAnsi="Arial" w:cs="Arial"/>
                <w:sz w:val="24"/>
                <w:szCs w:val="24"/>
                <w:lang w:val="it-IT"/>
              </w:rPr>
              <w:t xml:space="preserve">Q5. Si ritiene che l’articolazione delle unità logico-organizzative identificate nel TIUC possa essere adatta all’applicazione anche nel settore dei rifiuti urbani? </w:t>
            </w:r>
          </w:p>
          <w:p w14:paraId="481D1084" w14:textId="725E19B8" w:rsidR="000039A8" w:rsidRPr="00C86809" w:rsidRDefault="000039A8" w:rsidP="000039A8">
            <w:pPr>
              <w:jc w:val="both"/>
              <w:rPr>
                <w:rFonts w:ascii="Arial" w:hAnsi="Arial" w:cs="Arial"/>
                <w:sz w:val="24"/>
                <w:szCs w:val="24"/>
                <w:lang w:val="it-IT"/>
              </w:rPr>
            </w:pPr>
            <w:r w:rsidRPr="00C86809">
              <w:rPr>
                <w:rFonts w:ascii="Arial" w:hAnsi="Arial" w:cs="Arial"/>
                <w:sz w:val="24"/>
                <w:szCs w:val="24"/>
                <w:lang w:val="it-IT"/>
              </w:rPr>
              <w:t xml:space="preserve">Q6. Quale ipotesi di organizzazione per unità logico-organizzativa delle funzioni relative al servizio di gestione integrata dei rifiuti urbani si ritiene possa essere adottata? </w:t>
            </w:r>
          </w:p>
          <w:p w14:paraId="1E0F7910" w14:textId="1F0DA2E1" w:rsidR="000039A8" w:rsidRPr="00C86809" w:rsidRDefault="000039A8" w:rsidP="000039A8">
            <w:pPr>
              <w:jc w:val="both"/>
              <w:rPr>
                <w:rFonts w:ascii="Arial" w:hAnsi="Arial" w:cs="Arial"/>
                <w:sz w:val="24"/>
                <w:szCs w:val="24"/>
                <w:lang w:val="it-IT"/>
              </w:rPr>
            </w:pPr>
            <w:r w:rsidRPr="00C86809">
              <w:rPr>
                <w:rFonts w:ascii="Arial" w:hAnsi="Arial" w:cs="Arial"/>
                <w:sz w:val="24"/>
                <w:szCs w:val="24"/>
                <w:lang w:val="it-IT"/>
              </w:rPr>
              <w:t xml:space="preserve">Q7. Come si valutano le ipotesi relative all’introduzione di specifiche funzioni operative condivise per il settore dei rifiuti urbani? </w:t>
            </w:r>
          </w:p>
          <w:p w14:paraId="2E54C518" w14:textId="77777777" w:rsidR="000039A8" w:rsidRPr="00C86809" w:rsidRDefault="000039A8" w:rsidP="000039A8">
            <w:pPr>
              <w:jc w:val="both"/>
              <w:rPr>
                <w:rFonts w:ascii="Arial" w:hAnsi="Arial" w:cs="Arial"/>
                <w:sz w:val="24"/>
                <w:szCs w:val="24"/>
                <w:lang w:val="it-IT"/>
              </w:rPr>
            </w:pPr>
          </w:p>
          <w:p w14:paraId="5235548D" w14:textId="69146441" w:rsidR="000039A8" w:rsidRPr="00C86809" w:rsidRDefault="000039A8" w:rsidP="000039A8">
            <w:pPr>
              <w:jc w:val="both"/>
              <w:rPr>
                <w:rFonts w:ascii="Arial" w:hAnsi="Arial" w:cs="Arial"/>
                <w:b/>
                <w:bCs/>
                <w:sz w:val="24"/>
                <w:szCs w:val="24"/>
                <w:lang w:val="it-IT"/>
              </w:rPr>
            </w:pPr>
            <w:r w:rsidRPr="00C86809">
              <w:rPr>
                <w:rFonts w:ascii="Arial" w:hAnsi="Arial" w:cs="Arial"/>
                <w:b/>
                <w:bCs/>
                <w:sz w:val="24"/>
                <w:szCs w:val="24"/>
                <w:lang w:val="it-IT"/>
              </w:rPr>
              <w:t>Imputazione delle partite economiche e patrimoniali</w:t>
            </w:r>
          </w:p>
          <w:p w14:paraId="1E50DFAC" w14:textId="692E4F1A" w:rsidR="000039A8" w:rsidRPr="00C86809" w:rsidRDefault="000039A8" w:rsidP="000039A8">
            <w:pPr>
              <w:jc w:val="both"/>
              <w:rPr>
                <w:rFonts w:ascii="Arial" w:hAnsi="Arial" w:cs="Arial"/>
                <w:sz w:val="24"/>
                <w:szCs w:val="24"/>
                <w:lang w:val="it-IT"/>
              </w:rPr>
            </w:pPr>
            <w:r w:rsidRPr="00C86809">
              <w:rPr>
                <w:rFonts w:ascii="Arial" w:hAnsi="Arial" w:cs="Arial"/>
                <w:sz w:val="24"/>
                <w:szCs w:val="24"/>
                <w:lang w:val="it-IT"/>
              </w:rPr>
              <w:t xml:space="preserve">Q8. Si ritiene che le logiche di imputazione delle partite economiche e patrimoniali prevista dal TIUC possa essere applicata anche al settore dei rifiuti? </w:t>
            </w:r>
          </w:p>
          <w:p w14:paraId="707B0DBE" w14:textId="77777777" w:rsidR="000039A8" w:rsidRPr="00C86809" w:rsidRDefault="000039A8" w:rsidP="000039A8">
            <w:pPr>
              <w:jc w:val="both"/>
              <w:rPr>
                <w:rFonts w:ascii="Arial" w:hAnsi="Arial" w:cs="Arial"/>
                <w:sz w:val="24"/>
                <w:szCs w:val="24"/>
                <w:lang w:val="it-IT"/>
              </w:rPr>
            </w:pPr>
          </w:p>
          <w:p w14:paraId="09207048" w14:textId="7017A8F6" w:rsidR="000039A8" w:rsidRPr="00C86809" w:rsidRDefault="000039A8" w:rsidP="000039A8">
            <w:pPr>
              <w:jc w:val="both"/>
              <w:rPr>
                <w:rFonts w:ascii="Arial" w:hAnsi="Arial" w:cs="Arial"/>
                <w:b/>
                <w:bCs/>
                <w:sz w:val="24"/>
                <w:szCs w:val="24"/>
                <w:lang w:val="it-IT"/>
              </w:rPr>
            </w:pPr>
            <w:r w:rsidRPr="00C86809">
              <w:rPr>
                <w:rFonts w:ascii="Arial" w:hAnsi="Arial" w:cs="Arial"/>
                <w:b/>
                <w:bCs/>
                <w:sz w:val="24"/>
                <w:szCs w:val="24"/>
                <w:lang w:val="it-IT"/>
              </w:rPr>
              <w:t>Driver di ribaltamento</w:t>
            </w:r>
          </w:p>
          <w:p w14:paraId="26E3DF33" w14:textId="309D8F95" w:rsidR="000039A8" w:rsidRPr="00C86809" w:rsidRDefault="000039A8" w:rsidP="000039A8">
            <w:pPr>
              <w:jc w:val="both"/>
              <w:rPr>
                <w:rFonts w:ascii="Arial" w:hAnsi="Arial" w:cs="Arial"/>
                <w:sz w:val="24"/>
                <w:szCs w:val="24"/>
                <w:lang w:val="it-IT"/>
              </w:rPr>
            </w:pPr>
            <w:r w:rsidRPr="00C86809">
              <w:rPr>
                <w:rFonts w:ascii="Arial" w:hAnsi="Arial" w:cs="Arial"/>
                <w:sz w:val="24"/>
                <w:szCs w:val="24"/>
                <w:lang w:val="it-IT"/>
              </w:rPr>
              <w:t>Q9. Si ritiene condivisibile di estendere anche all’</w:t>
            </w:r>
            <w:proofErr w:type="spellStart"/>
            <w:r w:rsidRPr="00C86809">
              <w:rPr>
                <w:rFonts w:ascii="Arial" w:hAnsi="Arial" w:cs="Arial"/>
                <w:sz w:val="24"/>
                <w:szCs w:val="24"/>
                <w:lang w:val="it-IT"/>
              </w:rPr>
              <w:t>unbundling</w:t>
            </w:r>
            <w:proofErr w:type="spellEnd"/>
            <w:r w:rsidRPr="00C86809">
              <w:rPr>
                <w:rFonts w:ascii="Arial" w:hAnsi="Arial" w:cs="Arial"/>
                <w:sz w:val="24"/>
                <w:szCs w:val="24"/>
                <w:lang w:val="it-IT"/>
              </w:rPr>
              <w:t xml:space="preserve"> contabile del settore dei rifiuti l’applicazione dei driver già individuati nel TIUC ai fini dell’allocazione delle poste relative a SC e FOC alle attività e ai comparti? </w:t>
            </w:r>
          </w:p>
          <w:p w14:paraId="0EF67202" w14:textId="279A19A0" w:rsidR="000039A8" w:rsidRPr="00C86809" w:rsidRDefault="000039A8" w:rsidP="000039A8">
            <w:pPr>
              <w:jc w:val="both"/>
              <w:rPr>
                <w:rFonts w:ascii="Arial" w:hAnsi="Arial" w:cs="Arial"/>
                <w:sz w:val="24"/>
                <w:szCs w:val="24"/>
                <w:lang w:val="it-IT"/>
              </w:rPr>
            </w:pPr>
            <w:r w:rsidRPr="00C86809">
              <w:rPr>
                <w:rFonts w:ascii="Arial" w:hAnsi="Arial" w:cs="Arial"/>
                <w:sz w:val="24"/>
                <w:szCs w:val="24"/>
                <w:lang w:val="it-IT"/>
              </w:rPr>
              <w:t xml:space="preserve">Q10. Qualora siano individuate specifiche FOC per il settore rifiuti, si ritiene opportuna l’individuazione da parte dell’Autorità di driver per il ribaltamento delle poste ad esse relative ad attività e comparti? </w:t>
            </w:r>
          </w:p>
          <w:p w14:paraId="1F807F56" w14:textId="5DD5E870" w:rsidR="000039A8" w:rsidRPr="00C86809" w:rsidRDefault="000039A8" w:rsidP="000039A8">
            <w:pPr>
              <w:jc w:val="both"/>
              <w:rPr>
                <w:rFonts w:ascii="Arial" w:hAnsi="Arial" w:cs="Arial"/>
                <w:sz w:val="24"/>
                <w:szCs w:val="24"/>
                <w:lang w:val="it-IT"/>
              </w:rPr>
            </w:pPr>
            <w:r w:rsidRPr="00C86809">
              <w:rPr>
                <w:rFonts w:ascii="Arial" w:hAnsi="Arial" w:cs="Arial"/>
                <w:sz w:val="24"/>
                <w:szCs w:val="24"/>
                <w:lang w:val="it-IT"/>
              </w:rPr>
              <w:lastRenderedPageBreak/>
              <w:t xml:space="preserve">Q11. Si condivide l’approccio generale che l’Autorità intende adottare in relazione all’allocazione dei costi agli ambiti tariffari. </w:t>
            </w:r>
          </w:p>
          <w:p w14:paraId="1FA1BA18" w14:textId="7242FE4E" w:rsidR="000039A8" w:rsidRPr="00C86809" w:rsidRDefault="000039A8" w:rsidP="000039A8">
            <w:pPr>
              <w:jc w:val="both"/>
              <w:rPr>
                <w:rFonts w:ascii="Arial" w:hAnsi="Arial" w:cs="Arial"/>
                <w:sz w:val="24"/>
                <w:szCs w:val="24"/>
                <w:lang w:val="it-IT"/>
              </w:rPr>
            </w:pPr>
            <w:r w:rsidRPr="00C86809">
              <w:rPr>
                <w:rFonts w:ascii="Arial" w:hAnsi="Arial" w:cs="Arial"/>
                <w:sz w:val="24"/>
                <w:szCs w:val="24"/>
                <w:lang w:val="it-IT"/>
              </w:rPr>
              <w:t xml:space="preserve">Q12. Nell’ipotesi di allocazione agli ambiti tariffari mediante driver, quali si ritiene possano essere gli indicatori appropriati per esprimere logiche cost </w:t>
            </w:r>
            <w:proofErr w:type="spellStart"/>
            <w:r w:rsidRPr="00C86809">
              <w:rPr>
                <w:rFonts w:ascii="Arial" w:hAnsi="Arial" w:cs="Arial"/>
                <w:sz w:val="24"/>
                <w:szCs w:val="24"/>
                <w:lang w:val="it-IT"/>
              </w:rPr>
              <w:t>reflective</w:t>
            </w:r>
            <w:proofErr w:type="spellEnd"/>
            <w:r w:rsidRPr="00C86809">
              <w:rPr>
                <w:rFonts w:ascii="Arial" w:hAnsi="Arial" w:cs="Arial"/>
                <w:sz w:val="24"/>
                <w:szCs w:val="24"/>
                <w:lang w:val="it-IT"/>
              </w:rPr>
              <w:t xml:space="preserve">? </w:t>
            </w:r>
          </w:p>
          <w:p w14:paraId="02E94EA1" w14:textId="77777777" w:rsidR="000039A8" w:rsidRPr="00C86809" w:rsidRDefault="000039A8" w:rsidP="000039A8">
            <w:pPr>
              <w:jc w:val="both"/>
              <w:rPr>
                <w:rFonts w:ascii="Arial" w:hAnsi="Arial" w:cs="Arial"/>
                <w:sz w:val="24"/>
                <w:szCs w:val="24"/>
                <w:lang w:val="it-IT"/>
              </w:rPr>
            </w:pPr>
          </w:p>
          <w:p w14:paraId="288BFBB3" w14:textId="26A1DC49" w:rsidR="000039A8" w:rsidRPr="00C86809" w:rsidRDefault="000039A8" w:rsidP="000039A8">
            <w:pPr>
              <w:jc w:val="both"/>
              <w:rPr>
                <w:rFonts w:ascii="Arial" w:hAnsi="Arial" w:cs="Arial"/>
                <w:b/>
                <w:bCs/>
                <w:sz w:val="24"/>
                <w:szCs w:val="24"/>
                <w:lang w:val="it-IT"/>
              </w:rPr>
            </w:pPr>
            <w:r w:rsidRPr="00C86809">
              <w:rPr>
                <w:rFonts w:ascii="Arial" w:hAnsi="Arial" w:cs="Arial"/>
                <w:b/>
                <w:bCs/>
                <w:sz w:val="24"/>
                <w:szCs w:val="24"/>
                <w:lang w:val="it-IT"/>
              </w:rPr>
              <w:t>Ambito di applicazione</w:t>
            </w:r>
          </w:p>
          <w:p w14:paraId="1AD1F22B" w14:textId="0F22EC93" w:rsidR="000039A8" w:rsidRPr="00C86809" w:rsidRDefault="000039A8" w:rsidP="000039A8">
            <w:pPr>
              <w:jc w:val="both"/>
              <w:rPr>
                <w:rFonts w:ascii="Arial" w:hAnsi="Arial" w:cs="Arial"/>
                <w:sz w:val="24"/>
                <w:szCs w:val="24"/>
                <w:lang w:val="it-IT"/>
              </w:rPr>
            </w:pPr>
            <w:r w:rsidRPr="00C86809">
              <w:rPr>
                <w:rFonts w:ascii="Arial" w:hAnsi="Arial" w:cs="Arial"/>
                <w:sz w:val="24"/>
                <w:szCs w:val="24"/>
                <w:lang w:val="it-IT"/>
              </w:rPr>
              <w:t xml:space="preserve">Q13. Quali profili si ritiene debbano essere valutati per definire le ipotesi di esenzione e di semplificazione? </w:t>
            </w:r>
          </w:p>
          <w:p w14:paraId="73B3C49E" w14:textId="77777777" w:rsidR="000039A8" w:rsidRPr="00C86809" w:rsidRDefault="000039A8" w:rsidP="000039A8">
            <w:pPr>
              <w:jc w:val="both"/>
              <w:rPr>
                <w:rFonts w:ascii="Arial" w:hAnsi="Arial" w:cs="Arial"/>
                <w:sz w:val="24"/>
                <w:szCs w:val="24"/>
                <w:lang w:val="it-IT"/>
              </w:rPr>
            </w:pPr>
          </w:p>
          <w:p w14:paraId="4A3D938B" w14:textId="2FE9767B" w:rsidR="000039A8" w:rsidRPr="00C86809" w:rsidRDefault="000039A8" w:rsidP="000039A8">
            <w:pPr>
              <w:jc w:val="both"/>
              <w:rPr>
                <w:rFonts w:ascii="Arial" w:hAnsi="Arial" w:cs="Arial"/>
                <w:b/>
                <w:bCs/>
                <w:sz w:val="24"/>
                <w:szCs w:val="24"/>
                <w:lang w:val="it-IT"/>
              </w:rPr>
            </w:pPr>
            <w:r w:rsidRPr="00C86809">
              <w:rPr>
                <w:rFonts w:ascii="Arial" w:hAnsi="Arial" w:cs="Arial"/>
                <w:b/>
                <w:bCs/>
                <w:sz w:val="24"/>
                <w:szCs w:val="24"/>
                <w:lang w:val="it-IT"/>
              </w:rPr>
              <w:t>Approccio per la separazione contabile</w:t>
            </w:r>
          </w:p>
          <w:p w14:paraId="4E5451E0" w14:textId="49DA8F28" w:rsidR="000039A8" w:rsidRPr="00C86809" w:rsidRDefault="000039A8" w:rsidP="000039A8">
            <w:pPr>
              <w:jc w:val="both"/>
              <w:rPr>
                <w:rFonts w:ascii="Arial" w:hAnsi="Arial" w:cs="Arial"/>
                <w:sz w:val="24"/>
                <w:szCs w:val="24"/>
                <w:lang w:val="it-IT"/>
              </w:rPr>
            </w:pPr>
            <w:r w:rsidRPr="00C86809">
              <w:rPr>
                <w:rFonts w:ascii="Arial" w:hAnsi="Arial" w:cs="Arial"/>
                <w:sz w:val="24"/>
                <w:szCs w:val="24"/>
                <w:lang w:val="it-IT"/>
              </w:rPr>
              <w:t xml:space="preserve">Q14. Si condivide l’ipotesi di introdurre un approccio differenziato in funzione degli obblighi già previsti in materia di separazione contabile dall’Autorità medesima o da altri soggetti? Si condividono le ipotesi di impostazione generale previste per i diversi casi? </w:t>
            </w:r>
          </w:p>
          <w:p w14:paraId="55345773" w14:textId="77777777" w:rsidR="000039A8" w:rsidRPr="00C86809" w:rsidRDefault="000039A8" w:rsidP="000039A8">
            <w:pPr>
              <w:jc w:val="both"/>
              <w:rPr>
                <w:rFonts w:ascii="Arial" w:hAnsi="Arial" w:cs="Arial"/>
                <w:sz w:val="24"/>
                <w:szCs w:val="24"/>
                <w:lang w:val="it-IT"/>
              </w:rPr>
            </w:pPr>
          </w:p>
          <w:p w14:paraId="5F91CE6C" w14:textId="20B08A4E" w:rsidR="000039A8" w:rsidRPr="00C86809" w:rsidRDefault="000039A8" w:rsidP="000039A8">
            <w:pPr>
              <w:jc w:val="both"/>
              <w:rPr>
                <w:rFonts w:ascii="Arial" w:hAnsi="Arial" w:cs="Arial"/>
                <w:b/>
                <w:bCs/>
                <w:sz w:val="24"/>
                <w:szCs w:val="24"/>
                <w:lang w:val="it-IT"/>
              </w:rPr>
            </w:pPr>
            <w:r w:rsidRPr="00C86809">
              <w:rPr>
                <w:rFonts w:ascii="Arial" w:hAnsi="Arial" w:cs="Arial"/>
                <w:b/>
                <w:bCs/>
                <w:sz w:val="24"/>
                <w:szCs w:val="24"/>
                <w:lang w:val="it-IT"/>
              </w:rPr>
              <w:t>Schemi specifici di rendicontazione annuale separata per il settore rifiuti</w:t>
            </w:r>
          </w:p>
          <w:p w14:paraId="7139B257" w14:textId="60B2BD82" w:rsidR="000039A8" w:rsidRPr="00C86809" w:rsidRDefault="000039A8" w:rsidP="000039A8">
            <w:pPr>
              <w:jc w:val="both"/>
              <w:rPr>
                <w:rFonts w:ascii="Arial" w:hAnsi="Arial" w:cs="Arial"/>
                <w:sz w:val="24"/>
                <w:szCs w:val="24"/>
                <w:lang w:val="it-IT"/>
              </w:rPr>
            </w:pPr>
            <w:r w:rsidRPr="00C86809">
              <w:rPr>
                <w:rFonts w:ascii="Arial" w:hAnsi="Arial" w:cs="Arial"/>
                <w:sz w:val="24"/>
                <w:szCs w:val="24"/>
                <w:lang w:val="it-IT"/>
              </w:rPr>
              <w:t xml:space="preserve">Q15. Si condivide l’ipotesi di introdurre rendiconti specifici per il settore dei rifiuti? Si condividono le ipotesi formulate dall’Autorità? </w:t>
            </w:r>
          </w:p>
          <w:p w14:paraId="4DC3E199" w14:textId="77777777" w:rsidR="000039A8" w:rsidRPr="00C86809" w:rsidRDefault="000039A8" w:rsidP="000039A8">
            <w:pPr>
              <w:jc w:val="both"/>
              <w:rPr>
                <w:rFonts w:ascii="Arial" w:hAnsi="Arial" w:cs="Arial"/>
                <w:sz w:val="24"/>
                <w:szCs w:val="24"/>
                <w:lang w:val="it-IT"/>
              </w:rPr>
            </w:pPr>
          </w:p>
          <w:p w14:paraId="51107A99" w14:textId="4AF05B19" w:rsidR="000039A8" w:rsidRPr="00C86809" w:rsidRDefault="000039A8" w:rsidP="000039A8">
            <w:pPr>
              <w:jc w:val="both"/>
              <w:rPr>
                <w:rFonts w:ascii="Arial" w:hAnsi="Arial" w:cs="Arial"/>
                <w:b/>
                <w:bCs/>
                <w:sz w:val="24"/>
                <w:szCs w:val="24"/>
                <w:lang w:val="it-IT"/>
              </w:rPr>
            </w:pPr>
            <w:proofErr w:type="spellStart"/>
            <w:r w:rsidRPr="00C86809">
              <w:rPr>
                <w:rFonts w:ascii="Arial" w:hAnsi="Arial" w:cs="Arial"/>
                <w:b/>
                <w:bCs/>
                <w:sz w:val="24"/>
                <w:szCs w:val="24"/>
                <w:lang w:val="it-IT"/>
              </w:rPr>
              <w:t>Unbundling</w:t>
            </w:r>
            <w:proofErr w:type="spellEnd"/>
            <w:r w:rsidRPr="00C86809">
              <w:rPr>
                <w:rFonts w:ascii="Arial" w:hAnsi="Arial" w:cs="Arial"/>
                <w:b/>
                <w:bCs/>
                <w:sz w:val="24"/>
                <w:szCs w:val="24"/>
                <w:lang w:val="it-IT"/>
              </w:rPr>
              <w:t xml:space="preserve"> del bilancio consolidato</w:t>
            </w:r>
          </w:p>
          <w:p w14:paraId="72D07769" w14:textId="1F3A7C72" w:rsidR="000039A8" w:rsidRPr="000039A8" w:rsidRDefault="000039A8" w:rsidP="000039A8">
            <w:pPr>
              <w:jc w:val="both"/>
              <w:rPr>
                <w:rFonts w:ascii="Arial" w:hAnsi="Arial" w:cs="Arial"/>
                <w:sz w:val="24"/>
                <w:szCs w:val="24"/>
                <w:lang w:val="it-IT"/>
              </w:rPr>
            </w:pPr>
            <w:r w:rsidRPr="00C86809">
              <w:rPr>
                <w:rFonts w:ascii="Arial" w:hAnsi="Arial" w:cs="Arial"/>
                <w:sz w:val="24"/>
                <w:szCs w:val="24"/>
                <w:lang w:val="it-IT"/>
              </w:rPr>
              <w:t xml:space="preserve">Q16. Si condivide l’ipotesi di prevedere obblighi di separazione contabile del bilancio consolidato solo ai gruppi societari già </w:t>
            </w:r>
            <w:r w:rsidRPr="000039A8">
              <w:rPr>
                <w:rFonts w:ascii="Arial" w:hAnsi="Arial" w:cs="Arial"/>
                <w:sz w:val="24"/>
                <w:szCs w:val="24"/>
                <w:lang w:val="it-IT"/>
              </w:rPr>
              <w:t>soggetti alle disposizioni del TIUC?</w:t>
            </w:r>
          </w:p>
          <w:p w14:paraId="1D9003B2" w14:textId="77777777" w:rsidR="000039A8" w:rsidRPr="000039A8" w:rsidRDefault="000039A8" w:rsidP="000039A8">
            <w:pPr>
              <w:jc w:val="both"/>
              <w:rPr>
                <w:rFonts w:ascii="Arial" w:hAnsi="Arial" w:cs="Arial"/>
                <w:sz w:val="24"/>
                <w:szCs w:val="24"/>
                <w:lang w:val="it-IT"/>
              </w:rPr>
            </w:pPr>
          </w:p>
          <w:p w14:paraId="19EC52A4" w14:textId="3719CBB8" w:rsidR="00C62D94" w:rsidRPr="00AA016A" w:rsidRDefault="00C62D94" w:rsidP="00293F06">
            <w:pPr>
              <w:rPr>
                <w:rFonts w:ascii="Arial" w:hAnsi="Arial" w:cs="Arial"/>
                <w:sz w:val="24"/>
                <w:szCs w:val="24"/>
                <w:lang w:val="it-IT"/>
              </w:rPr>
            </w:pPr>
          </w:p>
        </w:tc>
      </w:tr>
    </w:tbl>
    <w:p w14:paraId="39F6D22B" w14:textId="77777777" w:rsidR="00562B75" w:rsidRPr="00C62D94" w:rsidRDefault="00562B75" w:rsidP="00C62D94">
      <w:pPr>
        <w:rPr>
          <w:lang w:val="it-IT"/>
        </w:rPr>
      </w:pPr>
    </w:p>
    <w:sectPr w:rsidR="00562B75" w:rsidRPr="00C62D94" w:rsidSect="00C86809">
      <w:footerReference w:type="default" r:id="rId8"/>
      <w:pgSz w:w="12240" w:h="15840"/>
      <w:pgMar w:top="1440" w:right="1440" w:bottom="993" w:left="1440" w:header="720" w:footer="2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5E149" w14:textId="77777777" w:rsidR="007C2A9C" w:rsidRDefault="007C2A9C" w:rsidP="005C7167">
      <w:pPr>
        <w:spacing w:after="0" w:line="240" w:lineRule="auto"/>
      </w:pPr>
      <w:r>
        <w:separator/>
      </w:r>
    </w:p>
  </w:endnote>
  <w:endnote w:type="continuationSeparator" w:id="0">
    <w:p w14:paraId="6AAB1B1D" w14:textId="77777777" w:rsidR="007C2A9C" w:rsidRDefault="007C2A9C" w:rsidP="005C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5059239"/>
      <w:docPartObj>
        <w:docPartGallery w:val="Page Numbers (Bottom of Page)"/>
        <w:docPartUnique/>
      </w:docPartObj>
    </w:sdtPr>
    <w:sdtContent>
      <w:p w14:paraId="044574A6" w14:textId="2B7C60A4" w:rsidR="00C86809" w:rsidRDefault="00C86809">
        <w:pPr>
          <w:pStyle w:val="Pidipagina"/>
          <w:jc w:val="right"/>
        </w:pPr>
        <w:r>
          <w:fldChar w:fldCharType="begin"/>
        </w:r>
        <w:r>
          <w:instrText>PAGE   \* MERGEFORMAT</w:instrText>
        </w:r>
        <w:r>
          <w:fldChar w:fldCharType="separate"/>
        </w:r>
        <w:r>
          <w:rPr>
            <w:lang w:val="it-IT"/>
          </w:rPr>
          <w:t>2</w:t>
        </w:r>
        <w:r>
          <w:fldChar w:fldCharType="end"/>
        </w:r>
      </w:p>
    </w:sdtContent>
  </w:sdt>
  <w:p w14:paraId="2D240F20" w14:textId="77777777" w:rsidR="00C86809" w:rsidRDefault="00C868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99710" w14:textId="77777777" w:rsidR="007C2A9C" w:rsidRDefault="007C2A9C" w:rsidP="005C7167">
      <w:pPr>
        <w:spacing w:after="0" w:line="240" w:lineRule="auto"/>
      </w:pPr>
      <w:r>
        <w:separator/>
      </w:r>
    </w:p>
  </w:footnote>
  <w:footnote w:type="continuationSeparator" w:id="0">
    <w:p w14:paraId="3271C8DB" w14:textId="77777777" w:rsidR="007C2A9C" w:rsidRDefault="007C2A9C" w:rsidP="005C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84A48"/>
    <w:multiLevelType w:val="hybridMultilevel"/>
    <w:tmpl w:val="D5721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51439DB"/>
    <w:multiLevelType w:val="hybridMultilevel"/>
    <w:tmpl w:val="B218BC48"/>
    <w:lvl w:ilvl="0" w:tplc="873CAF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6522E4"/>
    <w:multiLevelType w:val="hybridMultilevel"/>
    <w:tmpl w:val="0136BA4C"/>
    <w:lvl w:ilvl="0" w:tplc="04090001">
      <w:start w:val="1"/>
      <w:numFmt w:val="bullet"/>
      <w:lvlText w:val=""/>
      <w:lvlJc w:val="left"/>
      <w:pPr>
        <w:ind w:left="420" w:hanging="360"/>
      </w:pPr>
      <w:rPr>
        <w:rFonts w:ascii="Symbol" w:hAnsi="Symbol" w:hint="default"/>
      </w:rPr>
    </w:lvl>
    <w:lvl w:ilvl="1" w:tplc="5B125E32">
      <w:numFmt w:val="bullet"/>
      <w:lvlText w:val="-"/>
      <w:lvlJc w:val="left"/>
      <w:pPr>
        <w:ind w:left="1140" w:hanging="360"/>
      </w:pPr>
      <w:rPr>
        <w:rFonts w:ascii="Calibri" w:eastAsiaTheme="minorHAnsi" w:hAnsi="Calibri" w:cs="Calibri"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4598088A"/>
    <w:multiLevelType w:val="hybridMultilevel"/>
    <w:tmpl w:val="AB46102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533E2EC2"/>
    <w:multiLevelType w:val="hybridMultilevel"/>
    <w:tmpl w:val="83DAB1C8"/>
    <w:lvl w:ilvl="0" w:tplc="7F30CF5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75C5808"/>
    <w:multiLevelType w:val="hybridMultilevel"/>
    <w:tmpl w:val="FB6CFC00"/>
    <w:lvl w:ilvl="0" w:tplc="5B125E3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5943439">
    <w:abstractNumId w:val="5"/>
  </w:num>
  <w:num w:numId="2" w16cid:durableId="1702589861">
    <w:abstractNumId w:val="3"/>
  </w:num>
  <w:num w:numId="3" w16cid:durableId="1019893267">
    <w:abstractNumId w:val="2"/>
  </w:num>
  <w:num w:numId="4" w16cid:durableId="1024093853">
    <w:abstractNumId w:val="4"/>
  </w:num>
  <w:num w:numId="5" w16cid:durableId="83039337">
    <w:abstractNumId w:val="1"/>
  </w:num>
  <w:num w:numId="6" w16cid:durableId="550582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B75"/>
    <w:rsid w:val="000039A8"/>
    <w:rsid w:val="00012EA3"/>
    <w:rsid w:val="00024E87"/>
    <w:rsid w:val="00054C4E"/>
    <w:rsid w:val="00055FE1"/>
    <w:rsid w:val="000902C1"/>
    <w:rsid w:val="0009454C"/>
    <w:rsid w:val="000965A0"/>
    <w:rsid w:val="000F4F8A"/>
    <w:rsid w:val="00146E21"/>
    <w:rsid w:val="00147F5F"/>
    <w:rsid w:val="001639BA"/>
    <w:rsid w:val="00181E98"/>
    <w:rsid w:val="001B6D9B"/>
    <w:rsid w:val="001C23AD"/>
    <w:rsid w:val="001F19C6"/>
    <w:rsid w:val="00200AAC"/>
    <w:rsid w:val="00223ABA"/>
    <w:rsid w:val="00223BEE"/>
    <w:rsid w:val="002333BD"/>
    <w:rsid w:val="00247CB2"/>
    <w:rsid w:val="00253CC5"/>
    <w:rsid w:val="00277B9D"/>
    <w:rsid w:val="00292E65"/>
    <w:rsid w:val="00293F06"/>
    <w:rsid w:val="002B1507"/>
    <w:rsid w:val="002E6EA1"/>
    <w:rsid w:val="002F0FFE"/>
    <w:rsid w:val="003069B3"/>
    <w:rsid w:val="00320732"/>
    <w:rsid w:val="00320770"/>
    <w:rsid w:val="00325E33"/>
    <w:rsid w:val="003559D1"/>
    <w:rsid w:val="003576BA"/>
    <w:rsid w:val="00370CE8"/>
    <w:rsid w:val="00390366"/>
    <w:rsid w:val="003C7953"/>
    <w:rsid w:val="00421622"/>
    <w:rsid w:val="00433551"/>
    <w:rsid w:val="004530BC"/>
    <w:rsid w:val="004569E5"/>
    <w:rsid w:val="00477781"/>
    <w:rsid w:val="004804EE"/>
    <w:rsid w:val="004973E1"/>
    <w:rsid w:val="004E498E"/>
    <w:rsid w:val="004E5F3A"/>
    <w:rsid w:val="0053743B"/>
    <w:rsid w:val="00545EA0"/>
    <w:rsid w:val="00562B75"/>
    <w:rsid w:val="00570F4B"/>
    <w:rsid w:val="00575CB3"/>
    <w:rsid w:val="00594940"/>
    <w:rsid w:val="005B52AB"/>
    <w:rsid w:val="005B64D6"/>
    <w:rsid w:val="005C7167"/>
    <w:rsid w:val="006156EB"/>
    <w:rsid w:val="006262C0"/>
    <w:rsid w:val="00665A83"/>
    <w:rsid w:val="006750E5"/>
    <w:rsid w:val="006A4401"/>
    <w:rsid w:val="006B2FDE"/>
    <w:rsid w:val="006B527B"/>
    <w:rsid w:val="006F5B07"/>
    <w:rsid w:val="0071334C"/>
    <w:rsid w:val="007153EE"/>
    <w:rsid w:val="00722BD7"/>
    <w:rsid w:val="007257C7"/>
    <w:rsid w:val="0073100B"/>
    <w:rsid w:val="00741394"/>
    <w:rsid w:val="00746288"/>
    <w:rsid w:val="007645F6"/>
    <w:rsid w:val="007A184F"/>
    <w:rsid w:val="007A5BBD"/>
    <w:rsid w:val="007B5814"/>
    <w:rsid w:val="007C2A9C"/>
    <w:rsid w:val="007C304A"/>
    <w:rsid w:val="007E0DCD"/>
    <w:rsid w:val="008316D8"/>
    <w:rsid w:val="00834A1B"/>
    <w:rsid w:val="00863B03"/>
    <w:rsid w:val="008669FE"/>
    <w:rsid w:val="00872FC1"/>
    <w:rsid w:val="008761FA"/>
    <w:rsid w:val="00887AAC"/>
    <w:rsid w:val="00895CB8"/>
    <w:rsid w:val="008A5DDD"/>
    <w:rsid w:val="008F6F9E"/>
    <w:rsid w:val="008F7CF3"/>
    <w:rsid w:val="00912D78"/>
    <w:rsid w:val="0092690B"/>
    <w:rsid w:val="00935911"/>
    <w:rsid w:val="00961297"/>
    <w:rsid w:val="009710EC"/>
    <w:rsid w:val="0099785C"/>
    <w:rsid w:val="009B5B2D"/>
    <w:rsid w:val="009C39A0"/>
    <w:rsid w:val="009D488D"/>
    <w:rsid w:val="009D51AC"/>
    <w:rsid w:val="009E56D5"/>
    <w:rsid w:val="009F4D29"/>
    <w:rsid w:val="009F6251"/>
    <w:rsid w:val="00A107E5"/>
    <w:rsid w:val="00A578B8"/>
    <w:rsid w:val="00A610FC"/>
    <w:rsid w:val="00A61903"/>
    <w:rsid w:val="00A7148C"/>
    <w:rsid w:val="00AA016A"/>
    <w:rsid w:val="00AE45F1"/>
    <w:rsid w:val="00B00D9B"/>
    <w:rsid w:val="00B10C29"/>
    <w:rsid w:val="00B157A4"/>
    <w:rsid w:val="00B40D7D"/>
    <w:rsid w:val="00B42560"/>
    <w:rsid w:val="00B47600"/>
    <w:rsid w:val="00B651FE"/>
    <w:rsid w:val="00B7001F"/>
    <w:rsid w:val="00B7737A"/>
    <w:rsid w:val="00B92AEA"/>
    <w:rsid w:val="00BA0421"/>
    <w:rsid w:val="00BD5EB0"/>
    <w:rsid w:val="00C05C7E"/>
    <w:rsid w:val="00C224E7"/>
    <w:rsid w:val="00C24707"/>
    <w:rsid w:val="00C25585"/>
    <w:rsid w:val="00C42EED"/>
    <w:rsid w:val="00C46395"/>
    <w:rsid w:val="00C4795D"/>
    <w:rsid w:val="00C62D94"/>
    <w:rsid w:val="00C86809"/>
    <w:rsid w:val="00CE34F2"/>
    <w:rsid w:val="00CF7D0B"/>
    <w:rsid w:val="00D1088F"/>
    <w:rsid w:val="00D16D02"/>
    <w:rsid w:val="00D37AF5"/>
    <w:rsid w:val="00D51245"/>
    <w:rsid w:val="00D515A6"/>
    <w:rsid w:val="00D53E9D"/>
    <w:rsid w:val="00D87402"/>
    <w:rsid w:val="00D92A1F"/>
    <w:rsid w:val="00DF514D"/>
    <w:rsid w:val="00E2196A"/>
    <w:rsid w:val="00E224BA"/>
    <w:rsid w:val="00E24F7E"/>
    <w:rsid w:val="00E46AB5"/>
    <w:rsid w:val="00E47EBA"/>
    <w:rsid w:val="00EE22D6"/>
    <w:rsid w:val="00EF3E47"/>
    <w:rsid w:val="00F207ED"/>
    <w:rsid w:val="00F253D3"/>
    <w:rsid w:val="00F33ECA"/>
    <w:rsid w:val="00F463DF"/>
    <w:rsid w:val="00F57CE3"/>
    <w:rsid w:val="00F62F31"/>
    <w:rsid w:val="00F937FC"/>
    <w:rsid w:val="00FB1BC7"/>
    <w:rsid w:val="00FE2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6BCCB"/>
  <w15:docId w15:val="{1C435B41-B3EF-46CC-87FC-DCD7696F6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62D9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62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333BD"/>
    <w:pPr>
      <w:ind w:left="720"/>
      <w:contextualSpacing/>
    </w:pPr>
    <w:rPr>
      <w:lang w:val="it-IT"/>
    </w:rPr>
  </w:style>
  <w:style w:type="paragraph" w:customStyle="1" w:styleId="Default">
    <w:name w:val="Default"/>
    <w:rsid w:val="0099785C"/>
    <w:pPr>
      <w:autoSpaceDE w:val="0"/>
      <w:autoSpaceDN w:val="0"/>
      <w:adjustRightInd w:val="0"/>
      <w:spacing w:after="0" w:line="240" w:lineRule="auto"/>
    </w:pPr>
    <w:rPr>
      <w:rFonts w:ascii="Arial" w:hAnsi="Arial" w:cs="Arial"/>
      <w:color w:val="000000"/>
      <w:sz w:val="24"/>
      <w:szCs w:val="24"/>
      <w:lang w:val="it-IT"/>
    </w:rPr>
  </w:style>
  <w:style w:type="paragraph" w:styleId="Testonotaapidipagina">
    <w:name w:val="footnote text"/>
    <w:basedOn w:val="Normale"/>
    <w:link w:val="TestonotaapidipaginaCarattere"/>
    <w:uiPriority w:val="99"/>
    <w:semiHidden/>
    <w:unhideWhenUsed/>
    <w:rsid w:val="005C7167"/>
    <w:pPr>
      <w:spacing w:after="0" w:line="240" w:lineRule="auto"/>
    </w:pPr>
    <w:rPr>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5C7167"/>
    <w:rPr>
      <w:sz w:val="20"/>
      <w:szCs w:val="20"/>
      <w:lang w:val="it-IT"/>
    </w:rPr>
  </w:style>
  <w:style w:type="character" w:styleId="Rimandonotaapidipagina">
    <w:name w:val="footnote reference"/>
    <w:basedOn w:val="Carpredefinitoparagrafo"/>
    <w:uiPriority w:val="99"/>
    <w:semiHidden/>
    <w:unhideWhenUsed/>
    <w:rsid w:val="005C7167"/>
    <w:rPr>
      <w:vertAlign w:val="superscript"/>
    </w:rPr>
  </w:style>
  <w:style w:type="character" w:styleId="Collegamentoipertestuale">
    <w:name w:val="Hyperlink"/>
    <w:basedOn w:val="Carpredefinitoparagrafo"/>
    <w:uiPriority w:val="99"/>
    <w:unhideWhenUsed/>
    <w:rsid w:val="00C62D94"/>
    <w:rPr>
      <w:color w:val="0563C1" w:themeColor="hyperlink"/>
      <w:u w:val="single"/>
    </w:rPr>
  </w:style>
  <w:style w:type="character" w:styleId="Menzionenonrisolta">
    <w:name w:val="Unresolved Mention"/>
    <w:basedOn w:val="Carpredefinitoparagrafo"/>
    <w:uiPriority w:val="99"/>
    <w:semiHidden/>
    <w:unhideWhenUsed/>
    <w:rsid w:val="00C62D94"/>
    <w:rPr>
      <w:color w:val="605E5C"/>
      <w:shd w:val="clear" w:color="auto" w:fill="E1DFDD"/>
    </w:rPr>
  </w:style>
  <w:style w:type="paragraph" w:styleId="Intestazione">
    <w:name w:val="header"/>
    <w:basedOn w:val="Normale"/>
    <w:link w:val="IntestazioneCarattere"/>
    <w:uiPriority w:val="99"/>
    <w:unhideWhenUsed/>
    <w:rsid w:val="00C8680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86809"/>
  </w:style>
  <w:style w:type="paragraph" w:styleId="Pidipagina">
    <w:name w:val="footer"/>
    <w:basedOn w:val="Normale"/>
    <w:link w:val="PidipaginaCarattere"/>
    <w:uiPriority w:val="99"/>
    <w:unhideWhenUsed/>
    <w:rsid w:val="00C8680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86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641">
      <w:bodyDiv w:val="1"/>
      <w:marLeft w:val="0"/>
      <w:marRight w:val="0"/>
      <w:marTop w:val="0"/>
      <w:marBottom w:val="0"/>
      <w:divBdr>
        <w:top w:val="none" w:sz="0" w:space="0" w:color="auto"/>
        <w:left w:val="none" w:sz="0" w:space="0" w:color="auto"/>
        <w:bottom w:val="none" w:sz="0" w:space="0" w:color="auto"/>
        <w:right w:val="none" w:sz="0" w:space="0" w:color="auto"/>
      </w:divBdr>
    </w:div>
    <w:div w:id="912276029">
      <w:bodyDiv w:val="1"/>
      <w:marLeft w:val="0"/>
      <w:marRight w:val="0"/>
      <w:marTop w:val="0"/>
      <w:marBottom w:val="0"/>
      <w:divBdr>
        <w:top w:val="none" w:sz="0" w:space="0" w:color="auto"/>
        <w:left w:val="none" w:sz="0" w:space="0" w:color="auto"/>
        <w:bottom w:val="none" w:sz="0" w:space="0" w:color="auto"/>
        <w:right w:val="none" w:sz="0" w:space="0" w:color="auto"/>
      </w:divBdr>
    </w:div>
    <w:div w:id="12067989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l.tosto@fis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516</Words>
  <Characters>2947</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Tosto</dc:creator>
  <cp:keywords/>
  <dc:description/>
  <cp:lastModifiedBy>Assoambiente</cp:lastModifiedBy>
  <cp:revision>5</cp:revision>
  <dcterms:created xsi:type="dcterms:W3CDTF">2025-04-03T13:13:00Z</dcterms:created>
  <dcterms:modified xsi:type="dcterms:W3CDTF">2025-04-03T15:10:00Z</dcterms:modified>
</cp:coreProperties>
</file>