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AF4B" w14:textId="77777777" w:rsidR="00C62D94" w:rsidRPr="00390366" w:rsidRDefault="00C62D94" w:rsidP="00C62D94">
      <w:pPr>
        <w:jc w:val="both"/>
        <w:rPr>
          <w:rFonts w:ascii="Arial" w:hAnsi="Arial" w:cs="Arial"/>
          <w:b/>
          <w:bCs/>
          <w:i/>
          <w:iCs/>
          <w:sz w:val="24"/>
          <w:szCs w:val="24"/>
          <w:lang w:val="it-IT"/>
        </w:rPr>
      </w:pPr>
    </w:p>
    <w:tbl>
      <w:tblPr>
        <w:tblStyle w:val="Grigliatabella"/>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300"/>
      </w:tblGrid>
      <w:tr w:rsidR="00C62D94" w:rsidRPr="00A438FF" w14:paraId="129856A2" w14:textId="77777777" w:rsidTr="001F19C6">
        <w:tc>
          <w:tcPr>
            <w:tcW w:w="9350" w:type="dxa"/>
          </w:tcPr>
          <w:p w14:paraId="4F94A275" w14:textId="093154C0" w:rsidR="00594940" w:rsidRDefault="00C62D94" w:rsidP="00912D78">
            <w:pPr>
              <w:jc w:val="center"/>
              <w:rPr>
                <w:rFonts w:ascii="Arial" w:hAnsi="Arial" w:cs="Arial"/>
                <w:b/>
                <w:bCs/>
                <w:i/>
                <w:iCs/>
                <w:sz w:val="28"/>
                <w:szCs w:val="28"/>
                <w:lang w:val="it-IT"/>
              </w:rPr>
            </w:pPr>
            <w:r w:rsidRPr="00C62D94">
              <w:rPr>
                <w:rFonts w:ascii="Arial" w:hAnsi="Arial" w:cs="Arial"/>
                <w:b/>
                <w:bCs/>
                <w:i/>
                <w:iCs/>
                <w:sz w:val="28"/>
                <w:szCs w:val="28"/>
                <w:lang w:val="x-none"/>
              </w:rPr>
              <w:t>DOCUMENTO PER LA CONSULTAZIONE</w:t>
            </w:r>
            <w:r w:rsidRPr="00C62D94">
              <w:rPr>
                <w:rFonts w:ascii="Arial" w:hAnsi="Arial" w:cs="Arial"/>
                <w:b/>
                <w:bCs/>
                <w:i/>
                <w:iCs/>
                <w:sz w:val="28"/>
                <w:szCs w:val="28"/>
                <w:lang w:val="it-IT"/>
              </w:rPr>
              <w:t xml:space="preserve"> ARERA </w:t>
            </w:r>
            <w:r w:rsidR="00C42EED" w:rsidRPr="00C42EED">
              <w:rPr>
                <w:rFonts w:ascii="Arial" w:hAnsi="Arial" w:cs="Arial"/>
                <w:b/>
                <w:bCs/>
                <w:i/>
                <w:iCs/>
                <w:sz w:val="28"/>
                <w:szCs w:val="28"/>
                <w:lang w:val="it-IT"/>
              </w:rPr>
              <w:t>1</w:t>
            </w:r>
            <w:r w:rsidR="00E961F1">
              <w:rPr>
                <w:rFonts w:ascii="Arial" w:hAnsi="Arial" w:cs="Arial"/>
                <w:b/>
                <w:bCs/>
                <w:i/>
                <w:iCs/>
                <w:sz w:val="28"/>
                <w:szCs w:val="28"/>
                <w:lang w:val="it-IT"/>
              </w:rPr>
              <w:t>80</w:t>
            </w:r>
            <w:r w:rsidR="00C42EED" w:rsidRPr="00C42EED">
              <w:rPr>
                <w:rFonts w:ascii="Arial" w:hAnsi="Arial" w:cs="Arial"/>
                <w:b/>
                <w:bCs/>
                <w:i/>
                <w:iCs/>
                <w:sz w:val="28"/>
                <w:szCs w:val="28"/>
                <w:lang w:val="it-IT"/>
              </w:rPr>
              <w:t>/2025/R/RIF</w:t>
            </w:r>
            <w:r w:rsidR="00C42EED">
              <w:rPr>
                <w:rFonts w:ascii="Arial" w:hAnsi="Arial" w:cs="Arial"/>
                <w:b/>
                <w:bCs/>
                <w:i/>
                <w:iCs/>
                <w:sz w:val="28"/>
                <w:szCs w:val="28"/>
                <w:lang w:val="it-IT"/>
              </w:rPr>
              <w:t xml:space="preserve"> </w:t>
            </w:r>
          </w:p>
          <w:p w14:paraId="0666F4F9" w14:textId="7B1637CF" w:rsidR="00E961F1" w:rsidRPr="00E961F1" w:rsidRDefault="00C62D94" w:rsidP="00E961F1">
            <w:pPr>
              <w:jc w:val="center"/>
              <w:rPr>
                <w:rFonts w:ascii="Arial" w:hAnsi="Arial" w:cs="Arial"/>
                <w:b/>
                <w:bCs/>
                <w:i/>
                <w:iCs/>
                <w:sz w:val="28"/>
                <w:szCs w:val="28"/>
                <w:lang w:val="x-none"/>
              </w:rPr>
            </w:pPr>
            <w:r w:rsidRPr="00C62D94">
              <w:rPr>
                <w:rFonts w:ascii="Arial" w:hAnsi="Arial" w:cs="Arial"/>
                <w:b/>
                <w:bCs/>
                <w:i/>
                <w:iCs/>
                <w:sz w:val="28"/>
                <w:szCs w:val="28"/>
                <w:lang w:val="x-none"/>
              </w:rPr>
              <w:t xml:space="preserve">riguardante </w:t>
            </w:r>
            <w:r w:rsidR="00E961F1">
              <w:rPr>
                <w:rFonts w:ascii="Arial" w:hAnsi="Arial" w:cs="Arial"/>
                <w:b/>
                <w:bCs/>
                <w:i/>
                <w:iCs/>
                <w:sz w:val="28"/>
                <w:szCs w:val="28"/>
                <w:lang w:val="x-none"/>
              </w:rPr>
              <w:t>“</w:t>
            </w:r>
            <w:r w:rsidR="00E961F1" w:rsidRPr="00E961F1">
              <w:rPr>
                <w:rFonts w:ascii="Arial" w:hAnsi="Arial" w:cs="Arial"/>
                <w:b/>
                <w:bCs/>
                <w:i/>
                <w:iCs/>
                <w:sz w:val="28"/>
                <w:szCs w:val="28"/>
                <w:lang w:val="x-none"/>
              </w:rPr>
              <w:t>METODO TARIFFARIO RIFIUTI PER IL TERZO PERIODO REGOLATORIO (MTR-3)</w:t>
            </w:r>
          </w:p>
          <w:p w14:paraId="2178509C" w14:textId="36D0B439" w:rsidR="00C62D94" w:rsidRPr="00912D78" w:rsidRDefault="00E961F1" w:rsidP="00E961F1">
            <w:pPr>
              <w:jc w:val="center"/>
              <w:rPr>
                <w:rFonts w:ascii="Arial" w:hAnsi="Arial" w:cs="Arial"/>
                <w:b/>
                <w:bCs/>
                <w:i/>
                <w:iCs/>
                <w:sz w:val="28"/>
                <w:szCs w:val="28"/>
                <w:lang w:val="x-none"/>
              </w:rPr>
            </w:pPr>
            <w:r w:rsidRPr="00E961F1">
              <w:rPr>
                <w:rFonts w:ascii="Arial" w:hAnsi="Arial" w:cs="Arial"/>
                <w:b/>
                <w:bCs/>
                <w:i/>
                <w:iCs/>
                <w:sz w:val="28"/>
                <w:szCs w:val="28"/>
                <w:lang w:val="x-none"/>
              </w:rPr>
              <w:t>Primi orientamenti</w:t>
            </w:r>
            <w:r w:rsidR="00594940" w:rsidRPr="00912D78">
              <w:rPr>
                <w:rFonts w:ascii="Arial" w:hAnsi="Arial" w:cs="Arial"/>
                <w:b/>
                <w:bCs/>
                <w:i/>
                <w:iCs/>
                <w:sz w:val="28"/>
                <w:szCs w:val="28"/>
                <w:lang w:val="x-none"/>
              </w:rPr>
              <w:t>”</w:t>
            </w:r>
          </w:p>
          <w:p w14:paraId="3E696021" w14:textId="77777777" w:rsidR="00594940" w:rsidRPr="00594940" w:rsidRDefault="00594940" w:rsidP="00594940">
            <w:pPr>
              <w:jc w:val="both"/>
              <w:rPr>
                <w:rFonts w:ascii="Arial" w:hAnsi="Arial" w:cs="Arial"/>
                <w:b/>
                <w:bCs/>
                <w:i/>
                <w:iCs/>
                <w:sz w:val="28"/>
                <w:szCs w:val="28"/>
                <w:lang w:val="it-IT"/>
              </w:rPr>
            </w:pPr>
          </w:p>
          <w:p w14:paraId="1FB92679" w14:textId="0CC685BD" w:rsidR="00C62D94" w:rsidRDefault="00C42EED"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osservazioni </w:t>
            </w:r>
            <w:r w:rsidR="00C62D94" w:rsidRPr="00C62D94">
              <w:rPr>
                <w:rFonts w:ascii="Arial" w:hAnsi="Arial" w:cs="Arial"/>
                <w:b/>
                <w:bCs/>
                <w:i/>
                <w:iCs/>
                <w:color w:val="C00000"/>
                <w:sz w:val="24"/>
                <w:szCs w:val="24"/>
                <w:lang w:val="it-IT"/>
              </w:rPr>
              <w:t>Assoambiente</w:t>
            </w:r>
          </w:p>
          <w:p w14:paraId="1D05B378" w14:textId="057F8C05" w:rsidR="00C62D94" w:rsidRDefault="00C62D94"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Invio a </w:t>
            </w:r>
            <w:hyperlink r:id="rId7" w:history="1">
              <w:r w:rsidRPr="002F7586">
                <w:rPr>
                  <w:rStyle w:val="Collegamentoipertestuale"/>
                  <w:rFonts w:ascii="Arial" w:hAnsi="Arial" w:cs="Arial"/>
                  <w:b/>
                  <w:bCs/>
                  <w:i/>
                  <w:iCs/>
                  <w:sz w:val="24"/>
                  <w:szCs w:val="24"/>
                  <w:lang w:val="it-IT"/>
                </w:rPr>
                <w:t>l.tosto@fise.org</w:t>
              </w:r>
            </w:hyperlink>
            <w:r>
              <w:rPr>
                <w:rFonts w:ascii="Arial" w:hAnsi="Arial" w:cs="Arial"/>
                <w:b/>
                <w:bCs/>
                <w:i/>
                <w:iCs/>
                <w:color w:val="C00000"/>
                <w:sz w:val="24"/>
                <w:szCs w:val="24"/>
                <w:lang w:val="it-IT"/>
              </w:rPr>
              <w:t xml:space="preserve"> entro </w:t>
            </w:r>
            <w:r w:rsidR="00BA0421">
              <w:rPr>
                <w:rFonts w:ascii="Arial" w:hAnsi="Arial" w:cs="Arial"/>
                <w:b/>
                <w:bCs/>
                <w:i/>
                <w:iCs/>
                <w:color w:val="C00000"/>
                <w:sz w:val="24"/>
                <w:szCs w:val="24"/>
                <w:lang w:val="it-IT"/>
              </w:rPr>
              <w:t xml:space="preserve">e non oltre </w:t>
            </w:r>
            <w:r>
              <w:rPr>
                <w:rFonts w:ascii="Arial" w:hAnsi="Arial" w:cs="Arial"/>
                <w:b/>
                <w:bCs/>
                <w:i/>
                <w:iCs/>
                <w:color w:val="C00000"/>
                <w:sz w:val="24"/>
                <w:szCs w:val="24"/>
                <w:lang w:val="it-IT"/>
              </w:rPr>
              <w:t>il</w:t>
            </w:r>
            <w:r w:rsidR="00912D78">
              <w:rPr>
                <w:rFonts w:ascii="Arial" w:hAnsi="Arial" w:cs="Arial"/>
                <w:b/>
                <w:bCs/>
                <w:i/>
                <w:iCs/>
                <w:color w:val="C00000"/>
                <w:sz w:val="24"/>
                <w:szCs w:val="24"/>
                <w:lang w:val="it-IT"/>
              </w:rPr>
              <w:t xml:space="preserve"> </w:t>
            </w:r>
            <w:r w:rsidR="00E961F1">
              <w:rPr>
                <w:rFonts w:ascii="Arial" w:hAnsi="Arial" w:cs="Arial"/>
                <w:b/>
                <w:bCs/>
                <w:i/>
                <w:iCs/>
                <w:color w:val="C00000"/>
                <w:sz w:val="24"/>
                <w:szCs w:val="24"/>
                <w:lang w:val="it-IT"/>
              </w:rPr>
              <w:t>13 maggio</w:t>
            </w:r>
            <w:r w:rsidR="00C42EED">
              <w:rPr>
                <w:rFonts w:ascii="Arial" w:hAnsi="Arial" w:cs="Arial"/>
                <w:b/>
                <w:bCs/>
                <w:i/>
                <w:iCs/>
                <w:color w:val="C00000"/>
                <w:sz w:val="24"/>
                <w:szCs w:val="24"/>
                <w:lang w:val="it-IT"/>
              </w:rPr>
              <w:t xml:space="preserve"> 2025</w:t>
            </w:r>
          </w:p>
          <w:p w14:paraId="7EC2CF51" w14:textId="77777777" w:rsidR="00C62D94" w:rsidRPr="00AE45F1" w:rsidRDefault="00C62D94" w:rsidP="001F19C6">
            <w:pPr>
              <w:jc w:val="center"/>
              <w:rPr>
                <w:rFonts w:ascii="Arial" w:hAnsi="Arial" w:cs="Arial"/>
                <w:b/>
                <w:bCs/>
                <w:i/>
                <w:iCs/>
                <w:sz w:val="24"/>
                <w:szCs w:val="24"/>
                <w:lang w:val="it-IT"/>
              </w:rPr>
            </w:pPr>
          </w:p>
        </w:tc>
      </w:tr>
    </w:tbl>
    <w:p w14:paraId="7940303B" w14:textId="77777777" w:rsidR="00C62D94" w:rsidRPr="00390366" w:rsidRDefault="00C62D94" w:rsidP="00C62D94">
      <w:pPr>
        <w:jc w:val="center"/>
        <w:rPr>
          <w:rFonts w:ascii="Arial" w:hAnsi="Arial" w:cs="Arial"/>
          <w:b/>
          <w:bCs/>
          <w:i/>
          <w:iCs/>
          <w:sz w:val="24"/>
          <w:szCs w:val="24"/>
          <w:lang w:val="it-IT"/>
        </w:rPr>
      </w:pPr>
      <w:r>
        <w:rPr>
          <w:rFonts w:ascii="Arial" w:hAnsi="Arial" w:cs="Arial"/>
          <w:b/>
          <w:bCs/>
          <w:i/>
          <w:iCs/>
          <w:sz w:val="24"/>
          <w:szCs w:val="24"/>
          <w:lang w:val="it-IT"/>
        </w:rPr>
        <w:t>***</w:t>
      </w:r>
    </w:p>
    <w:p w14:paraId="17CE1ECA" w14:textId="77777777" w:rsidR="00C62D94" w:rsidRPr="00AA016A" w:rsidRDefault="00C62D94" w:rsidP="00C62D94">
      <w:pPr>
        <w:jc w:val="both"/>
        <w:rPr>
          <w:rFonts w:ascii="Arial" w:hAnsi="Arial" w:cs="Arial"/>
          <w:b/>
          <w:bCs/>
          <w:i/>
          <w:iCs/>
          <w:sz w:val="24"/>
          <w:szCs w:val="24"/>
          <w:lang w:val="it-IT"/>
        </w:rPr>
      </w:pPr>
    </w:p>
    <w:tbl>
      <w:tblPr>
        <w:tblStyle w:val="Grigliatabella"/>
        <w:tblW w:w="0" w:type="auto"/>
        <w:tblLook w:val="04A0" w:firstRow="1" w:lastRow="0" w:firstColumn="1" w:lastColumn="0" w:noHBand="0" w:noVBand="1"/>
      </w:tblPr>
      <w:tblGrid>
        <w:gridCol w:w="9350"/>
      </w:tblGrid>
      <w:tr w:rsidR="00C62D94" w:rsidRPr="008316D8" w14:paraId="1A2B1EFE" w14:textId="77777777" w:rsidTr="001F19C6">
        <w:tc>
          <w:tcPr>
            <w:tcW w:w="9350" w:type="dxa"/>
          </w:tcPr>
          <w:p w14:paraId="171B5C06" w14:textId="782D5988" w:rsidR="00277B9D" w:rsidRPr="00277B9D" w:rsidRDefault="00277B9D" w:rsidP="00293F06">
            <w:pPr>
              <w:jc w:val="center"/>
              <w:rPr>
                <w:rFonts w:ascii="Arial" w:hAnsi="Arial" w:cs="Arial"/>
                <w:b/>
                <w:bCs/>
                <w:sz w:val="28"/>
                <w:szCs w:val="28"/>
                <w:u w:val="single"/>
                <w:lang w:val="it-IT"/>
              </w:rPr>
            </w:pPr>
            <w:r w:rsidRPr="00277B9D">
              <w:rPr>
                <w:rFonts w:ascii="Arial" w:hAnsi="Arial" w:cs="Arial"/>
                <w:b/>
                <w:bCs/>
                <w:sz w:val="28"/>
                <w:szCs w:val="28"/>
                <w:u w:val="single"/>
                <w:lang w:val="it-IT"/>
              </w:rPr>
              <w:t>Motivare le risposte</w:t>
            </w:r>
          </w:p>
          <w:p w14:paraId="4F10BD27" w14:textId="77777777" w:rsidR="00C42EED" w:rsidRDefault="00C42EED" w:rsidP="00293F06">
            <w:pPr>
              <w:jc w:val="both"/>
              <w:rPr>
                <w:rFonts w:ascii="Arial" w:hAnsi="Arial" w:cs="Arial"/>
                <w:b/>
                <w:bCs/>
                <w:sz w:val="24"/>
                <w:szCs w:val="24"/>
                <w:u w:val="single"/>
                <w:lang w:val="it-IT"/>
              </w:rPr>
            </w:pPr>
          </w:p>
          <w:p w14:paraId="68BA31D9" w14:textId="77777777" w:rsidR="000039A8" w:rsidRPr="000039A8" w:rsidRDefault="000039A8" w:rsidP="00E961F1">
            <w:pPr>
              <w:jc w:val="both"/>
              <w:rPr>
                <w:rFonts w:ascii="Arial" w:hAnsi="Arial" w:cs="Arial"/>
                <w:sz w:val="24"/>
                <w:szCs w:val="24"/>
                <w:lang w:val="it-IT"/>
              </w:rPr>
            </w:pPr>
          </w:p>
          <w:p w14:paraId="5264A5A2" w14:textId="77777777" w:rsidR="00E961F1" w:rsidRDefault="00E961F1" w:rsidP="00E961F1">
            <w:pPr>
              <w:jc w:val="both"/>
              <w:rPr>
                <w:rFonts w:ascii="Arial" w:hAnsi="Arial" w:cs="Arial"/>
                <w:b/>
                <w:bCs/>
                <w:sz w:val="28"/>
                <w:szCs w:val="28"/>
                <w:lang w:val="it-IT"/>
              </w:rPr>
            </w:pPr>
            <w:r w:rsidRPr="00E961F1">
              <w:rPr>
                <w:rFonts w:ascii="Arial" w:hAnsi="Arial" w:cs="Arial"/>
                <w:b/>
                <w:bCs/>
                <w:sz w:val="28"/>
                <w:szCs w:val="28"/>
                <w:lang w:val="it-IT"/>
              </w:rPr>
              <w:t xml:space="preserve">Visione d’insieme e finalità dell’intervento </w:t>
            </w:r>
          </w:p>
          <w:p w14:paraId="5B7FB32B" w14:textId="27B12852"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Q1.</w:t>
            </w:r>
          </w:p>
          <w:p w14:paraId="4D094F16"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Nell’ambito delle valutazioni complessive da formulare in relazione alle riforme prospettate dall’Autorità per il settore rifiuti, quali ulteriori elementi si ritiene debbano essere considerati? Motivare la risposta.</w:t>
            </w:r>
          </w:p>
          <w:p w14:paraId="792BF05B"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Q2.</w:t>
            </w:r>
          </w:p>
          <w:p w14:paraId="448A37A1" w14:textId="25B0CC72" w:rsidR="000039A8" w:rsidRPr="000039A8" w:rsidRDefault="00E961F1" w:rsidP="00E961F1">
            <w:pPr>
              <w:jc w:val="both"/>
              <w:rPr>
                <w:rFonts w:ascii="Arial" w:hAnsi="Arial" w:cs="Arial"/>
                <w:sz w:val="24"/>
                <w:szCs w:val="24"/>
                <w:lang w:val="it-IT"/>
              </w:rPr>
            </w:pPr>
            <w:r w:rsidRPr="00E961F1">
              <w:rPr>
                <w:rFonts w:ascii="Arial" w:hAnsi="Arial" w:cs="Arial"/>
                <w:sz w:val="24"/>
                <w:szCs w:val="24"/>
                <w:lang w:val="it-IT"/>
              </w:rPr>
              <w:t>Si condivide l’orientamento di conferma della durata quadriennale del periodo regolatorio? Motivare la risposta.</w:t>
            </w:r>
          </w:p>
          <w:p w14:paraId="3EF6253D" w14:textId="77777777" w:rsidR="000039A8" w:rsidRPr="000039A8" w:rsidRDefault="000039A8" w:rsidP="00E961F1">
            <w:pPr>
              <w:jc w:val="both"/>
              <w:rPr>
                <w:rFonts w:ascii="Arial" w:hAnsi="Arial" w:cs="Arial"/>
                <w:sz w:val="24"/>
                <w:szCs w:val="24"/>
                <w:lang w:val="it-IT"/>
              </w:rPr>
            </w:pPr>
          </w:p>
          <w:p w14:paraId="77133E89" w14:textId="2D96641D" w:rsidR="000039A8" w:rsidRPr="000039A8" w:rsidRDefault="00E961F1" w:rsidP="00E961F1">
            <w:pPr>
              <w:jc w:val="both"/>
              <w:rPr>
                <w:rFonts w:ascii="Arial" w:hAnsi="Arial" w:cs="Arial"/>
                <w:b/>
                <w:bCs/>
                <w:sz w:val="28"/>
                <w:szCs w:val="28"/>
                <w:lang w:val="it-IT"/>
              </w:rPr>
            </w:pPr>
            <w:r w:rsidRPr="00E961F1">
              <w:rPr>
                <w:rFonts w:ascii="Arial" w:hAnsi="Arial" w:cs="Arial"/>
                <w:b/>
                <w:bCs/>
                <w:sz w:val="28"/>
                <w:szCs w:val="28"/>
                <w:lang w:val="it-IT"/>
              </w:rPr>
              <w:t>Limite alle entrate tariffarie per il servizio integrato di gestione dei rifiuti urbani</w:t>
            </w:r>
          </w:p>
          <w:p w14:paraId="4759F7C6" w14:textId="03B1FA51"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Q3.</w:t>
            </w:r>
          </w:p>
          <w:p w14:paraId="61834197"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 xml:space="preserve">Si concorda con l’orientamento a mantenere un coefficiente che possa catturare gli eventuali incrementi nei costi dei fattori della produzione che dovessero registrarsi nel terzo periodo regolatorio? In caso di risposta affermativa, si concorda con la proposta di modifica dell’intervallo di valorizzazione del suddetto coefficiente secondo cui l’ampiezza di tale intervallo sarebbe condizionata alle prestazioni di qualità ambientale della gestione? A tal fine, si concorda con l’impiego del coefficiente </w:t>
            </w:r>
            <w:proofErr w:type="spellStart"/>
            <w:r w:rsidRPr="00E961F1">
              <w:rPr>
                <w:rFonts w:ascii="Arial" w:hAnsi="Arial" w:cs="Arial"/>
                <w:sz w:val="24"/>
                <w:szCs w:val="24"/>
                <w:lang w:val="it-IT"/>
              </w:rPr>
              <w:t>Ηa</w:t>
            </w:r>
            <w:proofErr w:type="spellEnd"/>
            <w:r w:rsidRPr="00E961F1">
              <w:rPr>
                <w:rFonts w:ascii="Arial" w:hAnsi="Arial" w:cs="Arial"/>
                <w:sz w:val="24"/>
                <w:szCs w:val="24"/>
                <w:lang w:val="it-IT"/>
              </w:rPr>
              <w:t xml:space="preserve">? Quali misure potrebbero essere impiegate, in alternativa a </w:t>
            </w:r>
            <w:proofErr w:type="spellStart"/>
            <w:r w:rsidRPr="00E961F1">
              <w:rPr>
                <w:rFonts w:ascii="Arial" w:hAnsi="Arial" w:cs="Arial"/>
                <w:sz w:val="24"/>
                <w:szCs w:val="24"/>
                <w:lang w:val="it-IT"/>
              </w:rPr>
              <w:t>Ηa</w:t>
            </w:r>
            <w:proofErr w:type="spellEnd"/>
            <w:r w:rsidRPr="00E961F1">
              <w:rPr>
                <w:rFonts w:ascii="Arial" w:hAnsi="Arial" w:cs="Arial"/>
                <w:sz w:val="24"/>
                <w:szCs w:val="24"/>
                <w:lang w:val="it-IT"/>
              </w:rPr>
              <w:t>? Motivare la risposta.</w:t>
            </w:r>
          </w:p>
          <w:p w14:paraId="037835D2"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Q4.</w:t>
            </w:r>
          </w:p>
          <w:p w14:paraId="2E54C518" w14:textId="35B56559" w:rsidR="000039A8" w:rsidRDefault="00E961F1" w:rsidP="00E961F1">
            <w:pPr>
              <w:jc w:val="both"/>
              <w:rPr>
                <w:rFonts w:ascii="Arial" w:hAnsi="Arial" w:cs="Arial"/>
                <w:sz w:val="24"/>
                <w:szCs w:val="24"/>
                <w:lang w:val="it-IT"/>
              </w:rPr>
            </w:pPr>
            <w:r w:rsidRPr="00E961F1">
              <w:rPr>
                <w:rFonts w:ascii="Arial" w:hAnsi="Arial" w:cs="Arial"/>
                <w:sz w:val="24"/>
                <w:szCs w:val="24"/>
                <w:lang w:val="it-IT"/>
              </w:rPr>
              <w:t>Si concorda con gli orientamenti dell’Autorità relativi alla facoltà di rimodulazione degli importi eccedenti il limite alla crescita delle entrate tariffarie? In particolare, quali regole di condizionalità e di pianificazione del recupero degli importi rimodulati si ritiene possano essere individuate per mantenere l’aderenza dei costi del servizio alle modalità e caratteristiche della sua erogazione, per contemperare la tutela dell’utenza e l’equilibrio economico-finanziario delle gestioni e, infine, per garantire la concorrenza nelle fasi di avvicendamento gestionale? Motivare la risposta.</w:t>
            </w:r>
          </w:p>
          <w:p w14:paraId="041108DF" w14:textId="77777777" w:rsidR="00E961F1" w:rsidRDefault="00E961F1" w:rsidP="00E961F1">
            <w:pPr>
              <w:jc w:val="both"/>
              <w:rPr>
                <w:rFonts w:ascii="Arial" w:hAnsi="Arial" w:cs="Arial"/>
                <w:sz w:val="24"/>
                <w:szCs w:val="24"/>
                <w:lang w:val="it-IT"/>
              </w:rPr>
            </w:pPr>
            <w:r w:rsidRPr="00E961F1">
              <w:rPr>
                <w:rFonts w:ascii="Arial" w:hAnsi="Arial" w:cs="Arial"/>
                <w:sz w:val="24"/>
                <w:szCs w:val="24"/>
                <w:lang w:val="it-IT"/>
              </w:rPr>
              <w:t>Q5.</w:t>
            </w:r>
          </w:p>
          <w:p w14:paraId="6BEEE807" w14:textId="6340B945"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lastRenderedPageBreak/>
              <w:t xml:space="preserve"> Si concorda con i primi orientamenti dell’Autorità sulle modifiche alle regole di</w:t>
            </w:r>
            <w:r>
              <w:rPr>
                <w:rFonts w:ascii="Arial" w:hAnsi="Arial" w:cs="Arial"/>
                <w:sz w:val="24"/>
                <w:szCs w:val="24"/>
                <w:lang w:val="it-IT"/>
              </w:rPr>
              <w:t xml:space="preserve"> </w:t>
            </w:r>
            <w:r w:rsidRPr="00E961F1">
              <w:rPr>
                <w:rFonts w:ascii="Arial" w:hAnsi="Arial" w:cs="Arial"/>
                <w:sz w:val="24"/>
                <w:szCs w:val="24"/>
                <w:lang w:val="it-IT"/>
              </w:rPr>
              <w:t>determinazione dei coefficienti che compongono il limite alla crescita annuale delle</w:t>
            </w:r>
            <w:r>
              <w:rPr>
                <w:rFonts w:ascii="Arial" w:hAnsi="Arial" w:cs="Arial"/>
                <w:sz w:val="24"/>
                <w:szCs w:val="24"/>
                <w:lang w:val="it-IT"/>
              </w:rPr>
              <w:t xml:space="preserve"> </w:t>
            </w:r>
            <w:r w:rsidRPr="00E961F1">
              <w:rPr>
                <w:rFonts w:ascii="Arial" w:hAnsi="Arial" w:cs="Arial"/>
                <w:sz w:val="24"/>
                <w:szCs w:val="24"/>
                <w:lang w:val="it-IT"/>
              </w:rPr>
              <w:t>entrate tariffarie, in coerenza con i risultati delle gare per l’affidamento del servizio?</w:t>
            </w:r>
          </w:p>
          <w:p w14:paraId="6530F9C3" w14:textId="65CDC142"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Si ritiene vi siano ulteriori profili di attenzione da considerare per definire un insieme</w:t>
            </w:r>
            <w:r>
              <w:rPr>
                <w:rFonts w:ascii="Arial" w:hAnsi="Arial" w:cs="Arial"/>
                <w:sz w:val="24"/>
                <w:szCs w:val="24"/>
                <w:lang w:val="it-IT"/>
              </w:rPr>
              <w:t xml:space="preserve"> </w:t>
            </w:r>
            <w:r w:rsidRPr="00E961F1">
              <w:rPr>
                <w:rFonts w:ascii="Arial" w:hAnsi="Arial" w:cs="Arial"/>
                <w:sz w:val="24"/>
                <w:szCs w:val="24"/>
                <w:lang w:val="it-IT"/>
              </w:rPr>
              <w:t>di regole che assicuri il rispetto delle condizioni economiche di aggiudicazione della</w:t>
            </w:r>
            <w:r>
              <w:rPr>
                <w:rFonts w:ascii="Arial" w:hAnsi="Arial" w:cs="Arial"/>
                <w:sz w:val="24"/>
                <w:szCs w:val="24"/>
                <w:lang w:val="it-IT"/>
              </w:rPr>
              <w:t xml:space="preserve"> </w:t>
            </w:r>
            <w:r w:rsidRPr="00E961F1">
              <w:rPr>
                <w:rFonts w:ascii="Arial" w:hAnsi="Arial" w:cs="Arial"/>
                <w:sz w:val="24"/>
                <w:szCs w:val="24"/>
                <w:lang w:val="it-IT"/>
              </w:rPr>
              <w:t>procedura concorsuale? Motivare le risposte.</w:t>
            </w:r>
          </w:p>
          <w:p w14:paraId="0D9EF1FA" w14:textId="77777777" w:rsidR="00E961F1" w:rsidRDefault="00E961F1" w:rsidP="00E961F1">
            <w:pPr>
              <w:jc w:val="both"/>
              <w:rPr>
                <w:rFonts w:ascii="Arial" w:hAnsi="Arial" w:cs="Arial"/>
                <w:sz w:val="24"/>
                <w:szCs w:val="24"/>
                <w:lang w:val="it-IT"/>
              </w:rPr>
            </w:pPr>
            <w:r w:rsidRPr="00E961F1">
              <w:rPr>
                <w:rFonts w:ascii="Arial" w:hAnsi="Arial" w:cs="Arial"/>
                <w:sz w:val="24"/>
                <w:szCs w:val="24"/>
                <w:lang w:val="it-IT"/>
              </w:rPr>
              <w:t xml:space="preserve">Q6. </w:t>
            </w:r>
          </w:p>
          <w:p w14:paraId="1CED92A8" w14:textId="4748902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Si ritiene opportuno rivedere gli intervalli di riferimento per la fissazione dei</w:t>
            </w:r>
            <w:r>
              <w:rPr>
                <w:rFonts w:ascii="Arial" w:hAnsi="Arial" w:cs="Arial"/>
                <w:sz w:val="24"/>
                <w:szCs w:val="24"/>
                <w:lang w:val="it-IT"/>
              </w:rPr>
              <w:t xml:space="preserve"> </w:t>
            </w:r>
            <w:r w:rsidRPr="00E961F1">
              <w:rPr>
                <w:rFonts w:ascii="Arial" w:hAnsi="Arial" w:cs="Arial"/>
                <w:sz w:val="24"/>
                <w:szCs w:val="24"/>
                <w:lang w:val="it-IT"/>
              </w:rPr>
              <w:t>coefficienti per la determinazione del limite alla crescita delle entrate tariffarie?</w:t>
            </w:r>
          </w:p>
          <w:p w14:paraId="2246EE16" w14:textId="612005C7" w:rsidR="00E961F1" w:rsidRDefault="00E961F1" w:rsidP="00E961F1">
            <w:pPr>
              <w:jc w:val="both"/>
              <w:rPr>
                <w:rFonts w:ascii="Arial" w:hAnsi="Arial" w:cs="Arial"/>
                <w:sz w:val="24"/>
                <w:szCs w:val="24"/>
                <w:lang w:val="it-IT"/>
              </w:rPr>
            </w:pPr>
            <w:r w:rsidRPr="00E961F1">
              <w:rPr>
                <w:rFonts w:ascii="Arial" w:hAnsi="Arial" w:cs="Arial"/>
                <w:sz w:val="24"/>
                <w:szCs w:val="24"/>
                <w:lang w:val="it-IT"/>
              </w:rPr>
              <w:t>Motivare la risposta.</w:t>
            </w:r>
          </w:p>
          <w:p w14:paraId="757F1521" w14:textId="77777777" w:rsidR="00E961F1" w:rsidRDefault="00E961F1" w:rsidP="00E961F1">
            <w:pPr>
              <w:jc w:val="both"/>
              <w:rPr>
                <w:rFonts w:ascii="Arial" w:hAnsi="Arial" w:cs="Arial"/>
                <w:sz w:val="24"/>
                <w:szCs w:val="24"/>
                <w:lang w:val="it-IT"/>
              </w:rPr>
            </w:pPr>
          </w:p>
          <w:p w14:paraId="38E65F19" w14:textId="2955B7AB" w:rsidR="00E961F1" w:rsidRDefault="00E961F1" w:rsidP="000039A8">
            <w:pPr>
              <w:jc w:val="both"/>
              <w:rPr>
                <w:rFonts w:ascii="Arial" w:hAnsi="Arial" w:cs="Arial"/>
                <w:b/>
                <w:bCs/>
                <w:sz w:val="28"/>
                <w:szCs w:val="28"/>
                <w:lang w:val="it-IT"/>
              </w:rPr>
            </w:pPr>
            <w:r w:rsidRPr="00E961F1">
              <w:rPr>
                <w:rFonts w:ascii="Arial" w:hAnsi="Arial" w:cs="Arial"/>
                <w:b/>
                <w:bCs/>
                <w:sz w:val="28"/>
                <w:szCs w:val="28"/>
                <w:lang w:val="it-IT"/>
              </w:rPr>
              <w:t>Componenti di natura previsionale</w:t>
            </w:r>
          </w:p>
          <w:p w14:paraId="42821DB8"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Q7.</w:t>
            </w:r>
          </w:p>
          <w:p w14:paraId="14BAF10A"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Quali soluzioni si ritengono idonee a introdurre distinzioni tra le differenti componenti tariffarie di natura previsionale COI, CQ e quelle di cui al punto 4.2?</w:t>
            </w:r>
          </w:p>
          <w:p w14:paraId="62BDD443"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Q8.</w:t>
            </w:r>
          </w:p>
          <w:p w14:paraId="2785010F"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Nel caso di obiettivi il cui raggiungimento richieda attività pluriennale superiore al biennio, quali modalità di verifica si ritiene opportuno introdurre?</w:t>
            </w:r>
          </w:p>
          <w:p w14:paraId="34865373"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Q9.</w:t>
            </w:r>
          </w:p>
          <w:p w14:paraId="203C22B2"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Quali evidenze si ritiene di sottoporre all’Autorità relativamente all’impatto sui costi di smaltimento delle nuove norme sul regime IVA applicabile ai conferimenti in discarica (e all’incenerimento senza recupero di energia)?</w:t>
            </w:r>
          </w:p>
          <w:p w14:paraId="3E0BB7D1"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Q10.</w:t>
            </w:r>
          </w:p>
          <w:p w14:paraId="68D1ADB9" w14:textId="070A549B"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Si concorda con la proposta di derogare parzialmente all’impiego dei costi effettivi per i casi di documentata e significativa variazione dei costi di trattamento, mediante</w:t>
            </w:r>
            <w:r>
              <w:rPr>
                <w:rFonts w:ascii="Arial" w:hAnsi="Arial" w:cs="Arial"/>
                <w:sz w:val="24"/>
                <w:szCs w:val="24"/>
                <w:lang w:val="it-IT"/>
              </w:rPr>
              <w:t xml:space="preserve"> </w:t>
            </w:r>
            <w:r w:rsidRPr="00E961F1">
              <w:rPr>
                <w:rFonts w:ascii="Arial" w:hAnsi="Arial" w:cs="Arial"/>
                <w:sz w:val="24"/>
                <w:szCs w:val="24"/>
                <w:lang w:val="it-IT"/>
              </w:rPr>
              <w:t>il riconoscimento tariffario di una componente di costo di natura previsionale? In caso di risposta affermativa, a quali condizioni si ritiene possa essere subordinata la suddetta facoltà di deroga? Quali incentivi si ritiene possano essere previsti per la minimizzazione dei volumi di rifiuti destinati allo smaltimento? Motivare le risposte.</w:t>
            </w:r>
          </w:p>
          <w:p w14:paraId="4F027E2E"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Q11.</w:t>
            </w:r>
          </w:p>
          <w:p w14:paraId="062A5CAC" w14:textId="2DAF7ABC" w:rsidR="00E961F1" w:rsidRDefault="00E961F1" w:rsidP="00E961F1">
            <w:pPr>
              <w:jc w:val="both"/>
              <w:rPr>
                <w:rFonts w:ascii="Arial" w:hAnsi="Arial" w:cs="Arial"/>
                <w:sz w:val="24"/>
                <w:szCs w:val="24"/>
                <w:lang w:val="it-IT"/>
              </w:rPr>
            </w:pPr>
            <w:r w:rsidRPr="00E961F1">
              <w:rPr>
                <w:rFonts w:ascii="Arial" w:hAnsi="Arial" w:cs="Arial"/>
                <w:sz w:val="24"/>
                <w:szCs w:val="24"/>
                <w:lang w:val="it-IT"/>
              </w:rPr>
              <w:t>Si concorda con quanto esposto in termini generali dall’Autorità in merito alla distinzione tra fattori endogeni ed esogeni? Si ritiene di sottoporre all’Autorità evidenze rispetto ai richiamati fattori endogeni ed esogeni? Motivare la risposta, fornendo elementi di dettaglio laddove disponibili.</w:t>
            </w:r>
          </w:p>
          <w:p w14:paraId="35EAC1E5" w14:textId="77777777" w:rsidR="00B55D33" w:rsidRDefault="00B55D33" w:rsidP="00E961F1">
            <w:pPr>
              <w:jc w:val="both"/>
              <w:rPr>
                <w:rFonts w:ascii="Arial" w:hAnsi="Arial" w:cs="Arial"/>
                <w:sz w:val="24"/>
                <w:szCs w:val="24"/>
                <w:lang w:val="it-IT"/>
              </w:rPr>
            </w:pPr>
          </w:p>
          <w:p w14:paraId="1DBFD221" w14:textId="5318A461" w:rsidR="00E961F1" w:rsidRPr="00B55D33" w:rsidRDefault="00B55D33" w:rsidP="00E961F1">
            <w:pPr>
              <w:jc w:val="both"/>
              <w:rPr>
                <w:rFonts w:ascii="Arial" w:hAnsi="Arial" w:cs="Arial"/>
                <w:b/>
                <w:bCs/>
                <w:sz w:val="28"/>
                <w:szCs w:val="28"/>
                <w:lang w:val="it-IT"/>
              </w:rPr>
            </w:pPr>
            <w:r w:rsidRPr="00B55D33">
              <w:rPr>
                <w:rFonts w:ascii="Arial" w:hAnsi="Arial" w:cs="Arial"/>
                <w:b/>
                <w:bCs/>
                <w:sz w:val="28"/>
                <w:szCs w:val="28"/>
                <w:lang w:val="it-IT"/>
              </w:rPr>
              <w:t xml:space="preserve">Ricavi e meccanismo di sharing </w:t>
            </w:r>
          </w:p>
          <w:p w14:paraId="765DCD5E" w14:textId="4403DB59"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Q12.</w:t>
            </w:r>
          </w:p>
          <w:p w14:paraId="079C828B"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Si concorda con l’orientamento di superamento della differenziazione dei fattori di sharing? Motivare la risposta.</w:t>
            </w:r>
          </w:p>
          <w:p w14:paraId="1A48B77C"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Q13.</w:t>
            </w:r>
          </w:p>
          <w:p w14:paraId="72B3D13B"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Si ritiene opportuno modificare l’intervallo di riferimento per la definizione del nuovo fattore di sharing? Alla luce del prospettato superamento della differenziazione dei fattori di sharing, quali elementi si ritiene possano essere impiegati per valorizzare la ripartizione dei benefici tra gestione e utenti? Motivare la risposta.</w:t>
            </w:r>
          </w:p>
          <w:p w14:paraId="776EC5AF" w14:textId="77777777" w:rsidR="00E961F1" w:rsidRPr="00E961F1" w:rsidRDefault="00E961F1" w:rsidP="00E961F1">
            <w:pPr>
              <w:jc w:val="both"/>
              <w:rPr>
                <w:rFonts w:ascii="Arial" w:hAnsi="Arial" w:cs="Arial"/>
                <w:sz w:val="24"/>
                <w:szCs w:val="24"/>
                <w:lang w:val="it-IT"/>
              </w:rPr>
            </w:pPr>
            <w:r w:rsidRPr="00E961F1">
              <w:rPr>
                <w:rFonts w:ascii="Arial" w:hAnsi="Arial" w:cs="Arial"/>
                <w:sz w:val="24"/>
                <w:szCs w:val="24"/>
                <w:lang w:val="it-IT"/>
              </w:rPr>
              <w:t>Q14.</w:t>
            </w:r>
          </w:p>
          <w:p w14:paraId="3034AB8C" w14:textId="1DE708D4" w:rsidR="00E961F1" w:rsidRDefault="00E961F1" w:rsidP="00E961F1">
            <w:pPr>
              <w:jc w:val="both"/>
              <w:rPr>
                <w:rFonts w:ascii="Arial" w:hAnsi="Arial" w:cs="Arial"/>
                <w:sz w:val="24"/>
                <w:szCs w:val="24"/>
                <w:lang w:val="it-IT"/>
              </w:rPr>
            </w:pPr>
            <w:r w:rsidRPr="00E961F1">
              <w:rPr>
                <w:rFonts w:ascii="Arial" w:hAnsi="Arial" w:cs="Arial"/>
                <w:sz w:val="24"/>
                <w:szCs w:val="24"/>
                <w:lang w:val="it-IT"/>
              </w:rPr>
              <w:lastRenderedPageBreak/>
              <w:t>Si concorda con l’introduzione di regole che possano promuovere la migliore valorizzazione delle componenti di ricavo? Si ritiene di formulare proposte ulteriori rispetto a quella delineata dall’Autorità? Motivare la risposta.</w:t>
            </w:r>
          </w:p>
          <w:p w14:paraId="1A2D7360" w14:textId="77777777" w:rsidR="00B55D33" w:rsidRDefault="00B55D33" w:rsidP="00E961F1">
            <w:pPr>
              <w:jc w:val="both"/>
              <w:rPr>
                <w:rFonts w:ascii="Arial" w:hAnsi="Arial" w:cs="Arial"/>
                <w:sz w:val="24"/>
                <w:szCs w:val="24"/>
                <w:lang w:val="it-IT"/>
              </w:rPr>
            </w:pPr>
          </w:p>
          <w:p w14:paraId="63CB4058" w14:textId="236CDD41" w:rsidR="00B55D33" w:rsidRPr="00B55D33" w:rsidRDefault="00B55D33" w:rsidP="00E961F1">
            <w:pPr>
              <w:jc w:val="both"/>
              <w:rPr>
                <w:rFonts w:ascii="Arial" w:hAnsi="Arial" w:cs="Arial"/>
                <w:b/>
                <w:bCs/>
                <w:sz w:val="28"/>
                <w:szCs w:val="28"/>
                <w:lang w:val="it-IT"/>
              </w:rPr>
            </w:pPr>
            <w:r w:rsidRPr="00B55D33">
              <w:rPr>
                <w:rFonts w:ascii="Arial" w:hAnsi="Arial" w:cs="Arial"/>
                <w:b/>
                <w:bCs/>
                <w:sz w:val="28"/>
                <w:szCs w:val="28"/>
                <w:lang w:val="it-IT"/>
              </w:rPr>
              <w:t>Costi d’uso del capitale</w:t>
            </w:r>
          </w:p>
          <w:p w14:paraId="06359595" w14:textId="77777777" w:rsidR="00B55D33" w:rsidRPr="00B55D33" w:rsidRDefault="00B55D33" w:rsidP="00B55D33">
            <w:pPr>
              <w:jc w:val="both"/>
              <w:rPr>
                <w:rFonts w:ascii="Arial" w:hAnsi="Arial" w:cs="Arial"/>
                <w:sz w:val="24"/>
                <w:szCs w:val="24"/>
                <w:lang w:val="it-IT"/>
              </w:rPr>
            </w:pPr>
            <w:r w:rsidRPr="00B55D33">
              <w:rPr>
                <w:rFonts w:ascii="Arial" w:hAnsi="Arial" w:cs="Arial"/>
                <w:sz w:val="24"/>
                <w:szCs w:val="24"/>
                <w:lang w:val="it-IT"/>
              </w:rPr>
              <w:t>Q15.</w:t>
            </w:r>
          </w:p>
          <w:p w14:paraId="44E36981" w14:textId="34B280F8" w:rsidR="00B55D33" w:rsidRPr="00B55D33" w:rsidRDefault="00B55D33" w:rsidP="00B55D33">
            <w:pPr>
              <w:jc w:val="both"/>
              <w:rPr>
                <w:rFonts w:ascii="Arial" w:hAnsi="Arial" w:cs="Arial"/>
                <w:sz w:val="24"/>
                <w:szCs w:val="24"/>
                <w:lang w:val="it-IT"/>
              </w:rPr>
            </w:pPr>
            <w:r w:rsidRPr="00B55D33">
              <w:rPr>
                <w:rFonts w:ascii="Arial" w:hAnsi="Arial" w:cs="Arial"/>
                <w:sz w:val="24"/>
                <w:szCs w:val="24"/>
                <w:lang w:val="it-IT"/>
              </w:rPr>
              <w:t>Si concorda con la proposta di conferma del criterio WACC? Motivare la risposta.</w:t>
            </w:r>
          </w:p>
          <w:p w14:paraId="63535EB7" w14:textId="77777777" w:rsidR="00B55D33" w:rsidRPr="00B55D33" w:rsidRDefault="00B55D33" w:rsidP="00B55D33">
            <w:pPr>
              <w:jc w:val="both"/>
              <w:rPr>
                <w:rFonts w:ascii="Arial" w:hAnsi="Arial" w:cs="Arial"/>
                <w:sz w:val="24"/>
                <w:szCs w:val="24"/>
                <w:lang w:val="it-IT"/>
              </w:rPr>
            </w:pPr>
            <w:r w:rsidRPr="00B55D33">
              <w:rPr>
                <w:rFonts w:ascii="Arial" w:hAnsi="Arial" w:cs="Arial"/>
                <w:sz w:val="24"/>
                <w:szCs w:val="24"/>
                <w:lang w:val="it-IT"/>
              </w:rPr>
              <w:t>Q16.</w:t>
            </w:r>
          </w:p>
          <w:p w14:paraId="7EC8A272" w14:textId="10657F0E" w:rsidR="00B55D33" w:rsidRDefault="00B55D33" w:rsidP="00B55D33">
            <w:pPr>
              <w:jc w:val="both"/>
              <w:rPr>
                <w:rFonts w:ascii="Arial" w:hAnsi="Arial" w:cs="Arial"/>
                <w:sz w:val="24"/>
                <w:szCs w:val="24"/>
                <w:lang w:val="it-IT"/>
              </w:rPr>
            </w:pPr>
            <w:r w:rsidRPr="00B55D33">
              <w:rPr>
                <w:rFonts w:ascii="Arial" w:hAnsi="Arial" w:cs="Arial"/>
                <w:sz w:val="24"/>
                <w:szCs w:val="24"/>
                <w:lang w:val="it-IT"/>
              </w:rPr>
              <w:t>Si concorda con l’orientamento dell’Autorità sulla valorizzazione dell’accantonamento per crediti? Motivare la risposta.</w:t>
            </w:r>
          </w:p>
          <w:p w14:paraId="4C7A4C16" w14:textId="77777777" w:rsidR="00E961F1" w:rsidRPr="000039A8" w:rsidRDefault="00E961F1" w:rsidP="000039A8">
            <w:pPr>
              <w:jc w:val="both"/>
              <w:rPr>
                <w:rFonts w:ascii="Arial" w:hAnsi="Arial" w:cs="Arial"/>
                <w:sz w:val="24"/>
                <w:szCs w:val="24"/>
                <w:lang w:val="it-IT"/>
              </w:rPr>
            </w:pPr>
          </w:p>
          <w:p w14:paraId="09207048" w14:textId="4123D7CD" w:rsidR="000039A8" w:rsidRDefault="002C41DC" w:rsidP="000039A8">
            <w:pPr>
              <w:jc w:val="both"/>
              <w:rPr>
                <w:rFonts w:ascii="Arial" w:hAnsi="Arial" w:cs="Arial"/>
                <w:b/>
                <w:bCs/>
                <w:sz w:val="28"/>
                <w:szCs w:val="28"/>
                <w:lang w:val="it-IT"/>
              </w:rPr>
            </w:pPr>
            <w:r>
              <w:rPr>
                <w:rFonts w:ascii="Arial" w:hAnsi="Arial" w:cs="Arial"/>
                <w:b/>
                <w:bCs/>
                <w:sz w:val="28"/>
                <w:szCs w:val="28"/>
                <w:lang w:val="it-IT"/>
              </w:rPr>
              <w:t>Tariffe di accesso agli impianti di trattamento</w:t>
            </w:r>
          </w:p>
          <w:p w14:paraId="2BC2872F"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Q17.</w:t>
            </w:r>
          </w:p>
          <w:p w14:paraId="60C8E186"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Si concorda con l’orientamento di conferma dell’attuale impianto della regolazione tariffaria dell’accesso agli impianti di trattamento? Motivare la risposta.</w:t>
            </w:r>
          </w:p>
          <w:p w14:paraId="1580CE83"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Q18.</w:t>
            </w:r>
          </w:p>
          <w:p w14:paraId="097F4299"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Si ritiene condivisibile una nuova impostazione che, sulla base di una valutazione</w:t>
            </w:r>
          </w:p>
          <w:p w14:paraId="35EBBAAD"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olistica delle attività gestionali,</w:t>
            </w:r>
          </w:p>
          <w:p w14:paraId="2F655850"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comporti un superamento, in un arco di tempo congruo, delle componenti perequative previste dal comma 3.3 della deliberazione 363/2021/R/RIF? Motivare la risposta.</w:t>
            </w:r>
          </w:p>
          <w:p w14:paraId="5DF9CA41"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Q19.</w:t>
            </w:r>
          </w:p>
          <w:p w14:paraId="61420071" w14:textId="52D10D9B" w:rsidR="002C41DC" w:rsidRDefault="002C41DC" w:rsidP="002C41DC">
            <w:pPr>
              <w:jc w:val="both"/>
              <w:rPr>
                <w:rFonts w:ascii="Arial" w:hAnsi="Arial" w:cs="Arial"/>
                <w:sz w:val="24"/>
                <w:szCs w:val="24"/>
                <w:lang w:val="it-IT"/>
              </w:rPr>
            </w:pPr>
            <w:r w:rsidRPr="002C41DC">
              <w:rPr>
                <w:rFonts w:ascii="Arial" w:hAnsi="Arial" w:cs="Arial"/>
                <w:sz w:val="24"/>
                <w:szCs w:val="24"/>
                <w:lang w:val="it-IT"/>
              </w:rPr>
              <w:t>Si concorda con la proposta di rafforzamento delle vigenti previsioni in materia di trasparenza di condizioni economiche di conferimento? Si ritiene di proporre modalità differenti da quelle prospettate dall’Autorità? Motivare le risposte.</w:t>
            </w:r>
          </w:p>
          <w:p w14:paraId="0D57CC68" w14:textId="77777777" w:rsidR="002C41DC" w:rsidRPr="002C41DC" w:rsidRDefault="002C41DC" w:rsidP="002C41DC">
            <w:pPr>
              <w:jc w:val="both"/>
              <w:rPr>
                <w:rFonts w:ascii="Arial" w:hAnsi="Arial" w:cs="Arial"/>
                <w:b/>
                <w:bCs/>
                <w:sz w:val="28"/>
                <w:szCs w:val="28"/>
                <w:lang w:val="it-IT"/>
              </w:rPr>
            </w:pPr>
          </w:p>
          <w:p w14:paraId="24F83B15" w14:textId="0F8E201C" w:rsidR="002C41DC" w:rsidRPr="002C41DC" w:rsidRDefault="002C41DC" w:rsidP="002C41DC">
            <w:pPr>
              <w:jc w:val="both"/>
              <w:rPr>
                <w:rFonts w:ascii="Arial" w:hAnsi="Arial" w:cs="Arial"/>
                <w:b/>
                <w:bCs/>
                <w:sz w:val="28"/>
                <w:szCs w:val="28"/>
                <w:lang w:val="it-IT"/>
              </w:rPr>
            </w:pPr>
            <w:r w:rsidRPr="002C41DC">
              <w:rPr>
                <w:rFonts w:ascii="Arial" w:hAnsi="Arial" w:cs="Arial"/>
                <w:b/>
                <w:bCs/>
                <w:sz w:val="28"/>
                <w:szCs w:val="28"/>
                <w:lang w:val="it-IT"/>
              </w:rPr>
              <w:t>Copertura dei costi efficienti della raccolta differenziata.</w:t>
            </w:r>
          </w:p>
          <w:p w14:paraId="41E22F29"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Q20.</w:t>
            </w:r>
          </w:p>
          <w:p w14:paraId="1F0445DB" w14:textId="1D381A21" w:rsidR="002C41DC" w:rsidRDefault="002C41DC" w:rsidP="002C41DC">
            <w:pPr>
              <w:jc w:val="both"/>
              <w:rPr>
                <w:rFonts w:ascii="Arial" w:hAnsi="Arial" w:cs="Arial"/>
                <w:sz w:val="24"/>
                <w:szCs w:val="24"/>
                <w:lang w:val="it-IT"/>
              </w:rPr>
            </w:pPr>
            <w:r w:rsidRPr="002C41DC">
              <w:rPr>
                <w:rFonts w:ascii="Arial" w:hAnsi="Arial" w:cs="Arial"/>
                <w:sz w:val="24"/>
                <w:szCs w:val="24"/>
                <w:lang w:val="it-IT"/>
              </w:rPr>
              <w:t xml:space="preserve">Si concorda con l’orientamento dell’Autorità che prevede la riclassificazione di una quota della componente </w:t>
            </w:r>
            <w:proofErr w:type="spellStart"/>
            <w:r w:rsidRPr="002C41DC">
              <w:rPr>
                <w:rFonts w:ascii="Arial" w:hAnsi="Arial" w:cs="Arial"/>
                <w:sz w:val="24"/>
                <w:szCs w:val="24"/>
                <w:lang w:val="it-IT"/>
              </w:rPr>
              <w:t>CRDa</w:t>
            </w:r>
            <w:proofErr w:type="spellEnd"/>
            <w:r w:rsidRPr="002C41DC">
              <w:rPr>
                <w:rFonts w:ascii="Arial" w:hAnsi="Arial" w:cs="Arial"/>
                <w:sz w:val="24"/>
                <w:szCs w:val="24"/>
                <w:lang w:val="it-IT"/>
              </w:rPr>
              <w:t xml:space="preserve"> finalizzata a incentivare il miglioramento del coefficiente </w:t>
            </w:r>
            <w:proofErr w:type="spellStart"/>
            <w:r w:rsidRPr="002C41DC">
              <w:rPr>
                <w:rFonts w:ascii="Arial" w:hAnsi="Arial" w:cs="Arial"/>
                <w:sz w:val="24"/>
                <w:szCs w:val="24"/>
                <w:lang w:val="it-IT"/>
              </w:rPr>
              <w:t>Ηa</w:t>
            </w:r>
            <w:proofErr w:type="spellEnd"/>
            <w:r w:rsidRPr="002C41DC">
              <w:rPr>
                <w:rFonts w:ascii="Arial" w:hAnsi="Arial" w:cs="Arial"/>
                <w:sz w:val="24"/>
                <w:szCs w:val="24"/>
                <w:lang w:val="it-IT"/>
              </w:rPr>
              <w:t>, secondo le modalità e le tempistiche sopra illustrate? Motivare la risposta.</w:t>
            </w:r>
          </w:p>
          <w:p w14:paraId="6C52D09F" w14:textId="77777777" w:rsidR="002C41DC" w:rsidRDefault="002C41DC" w:rsidP="002C41DC">
            <w:pPr>
              <w:jc w:val="both"/>
              <w:rPr>
                <w:rFonts w:ascii="Arial" w:hAnsi="Arial" w:cs="Arial"/>
                <w:sz w:val="24"/>
                <w:szCs w:val="24"/>
                <w:lang w:val="it-IT"/>
              </w:rPr>
            </w:pPr>
          </w:p>
          <w:p w14:paraId="4FD5C857" w14:textId="38E75659" w:rsidR="002C41DC" w:rsidRPr="002C41DC" w:rsidRDefault="002C41DC" w:rsidP="002C41DC">
            <w:pPr>
              <w:jc w:val="both"/>
              <w:rPr>
                <w:rFonts w:ascii="Arial" w:hAnsi="Arial" w:cs="Arial"/>
                <w:b/>
                <w:bCs/>
                <w:sz w:val="28"/>
                <w:szCs w:val="28"/>
                <w:lang w:val="it-IT"/>
              </w:rPr>
            </w:pPr>
            <w:r w:rsidRPr="002C41DC">
              <w:rPr>
                <w:rFonts w:ascii="Arial" w:hAnsi="Arial" w:cs="Arial"/>
                <w:b/>
                <w:bCs/>
                <w:sz w:val="28"/>
                <w:szCs w:val="28"/>
                <w:lang w:val="it-IT"/>
              </w:rPr>
              <w:t>Semplificazioni procedurali</w:t>
            </w:r>
          </w:p>
          <w:p w14:paraId="3D2929D5"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Q21.</w:t>
            </w:r>
          </w:p>
          <w:p w14:paraId="052F97CF" w14:textId="6F36A4F8" w:rsidR="002C41DC" w:rsidRDefault="002C41DC" w:rsidP="002C41DC">
            <w:pPr>
              <w:jc w:val="both"/>
              <w:rPr>
                <w:rFonts w:ascii="Arial" w:hAnsi="Arial" w:cs="Arial"/>
                <w:sz w:val="24"/>
                <w:szCs w:val="24"/>
                <w:lang w:val="it-IT"/>
              </w:rPr>
            </w:pPr>
            <w:r w:rsidRPr="002C41DC">
              <w:rPr>
                <w:rFonts w:ascii="Arial" w:hAnsi="Arial" w:cs="Arial"/>
                <w:sz w:val="24"/>
                <w:szCs w:val="24"/>
                <w:lang w:val="it-IT"/>
              </w:rPr>
              <w:t>Si concorda con la proposta di semplificazione dell’Autorità per il caso sopra descritto di gestione unitaria? Motivare la risposta.</w:t>
            </w:r>
          </w:p>
          <w:p w14:paraId="3A2D0AAD" w14:textId="77777777" w:rsidR="002C41DC" w:rsidRDefault="002C41DC" w:rsidP="002C41DC">
            <w:pPr>
              <w:jc w:val="both"/>
              <w:rPr>
                <w:rFonts w:ascii="Arial" w:hAnsi="Arial" w:cs="Arial"/>
                <w:sz w:val="24"/>
                <w:szCs w:val="24"/>
                <w:lang w:val="it-IT"/>
              </w:rPr>
            </w:pPr>
          </w:p>
          <w:p w14:paraId="1C65E4DD" w14:textId="5071B39F" w:rsidR="002C41DC" w:rsidRPr="002C41DC" w:rsidRDefault="002C41DC" w:rsidP="002C41DC">
            <w:pPr>
              <w:jc w:val="both"/>
              <w:rPr>
                <w:rFonts w:ascii="Arial" w:hAnsi="Arial" w:cs="Arial"/>
                <w:b/>
                <w:bCs/>
                <w:sz w:val="28"/>
                <w:szCs w:val="28"/>
                <w:lang w:val="it-IT"/>
              </w:rPr>
            </w:pPr>
            <w:r w:rsidRPr="002C41DC">
              <w:rPr>
                <w:rFonts w:ascii="Arial" w:hAnsi="Arial" w:cs="Arial"/>
                <w:b/>
                <w:bCs/>
                <w:sz w:val="28"/>
                <w:szCs w:val="28"/>
                <w:lang w:val="it-IT"/>
              </w:rPr>
              <w:t>Revisione infra periodo</w:t>
            </w:r>
          </w:p>
          <w:p w14:paraId="55339CA9"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Q22.</w:t>
            </w:r>
          </w:p>
          <w:p w14:paraId="6B176544" w14:textId="380DED64" w:rsidR="002C41DC" w:rsidRDefault="002C41DC" w:rsidP="002C41DC">
            <w:pPr>
              <w:jc w:val="both"/>
              <w:rPr>
                <w:rFonts w:ascii="Arial" w:hAnsi="Arial" w:cs="Arial"/>
                <w:sz w:val="24"/>
                <w:szCs w:val="24"/>
                <w:lang w:val="it-IT"/>
              </w:rPr>
            </w:pPr>
            <w:r w:rsidRPr="002C41DC">
              <w:rPr>
                <w:rFonts w:ascii="Arial" w:hAnsi="Arial" w:cs="Arial"/>
                <w:sz w:val="24"/>
                <w:szCs w:val="24"/>
                <w:lang w:val="it-IT"/>
              </w:rPr>
              <w:t>Si concorda con le misure prospettate per il rafforzamento delle regole per la presentazione delle istanze di revisione infra periodo delle predisposizioni tariffarie? Motivare la risposta.</w:t>
            </w:r>
          </w:p>
          <w:p w14:paraId="462FDEAE" w14:textId="77777777" w:rsidR="002C41DC" w:rsidRPr="002C41DC" w:rsidRDefault="002C41DC" w:rsidP="002C41DC">
            <w:pPr>
              <w:jc w:val="both"/>
              <w:rPr>
                <w:rFonts w:ascii="Arial" w:hAnsi="Arial" w:cs="Arial"/>
                <w:b/>
                <w:bCs/>
                <w:sz w:val="28"/>
                <w:szCs w:val="28"/>
                <w:lang w:val="it-IT"/>
              </w:rPr>
            </w:pPr>
          </w:p>
          <w:p w14:paraId="55437B3A" w14:textId="5F0F49BE" w:rsidR="002C41DC" w:rsidRPr="002C41DC" w:rsidRDefault="002C41DC" w:rsidP="002C41DC">
            <w:pPr>
              <w:jc w:val="both"/>
              <w:rPr>
                <w:rFonts w:ascii="Arial" w:hAnsi="Arial" w:cs="Arial"/>
                <w:b/>
                <w:bCs/>
                <w:sz w:val="28"/>
                <w:szCs w:val="28"/>
                <w:lang w:val="it-IT"/>
              </w:rPr>
            </w:pPr>
            <w:r w:rsidRPr="002C41DC">
              <w:rPr>
                <w:rFonts w:ascii="Arial" w:hAnsi="Arial" w:cs="Arial"/>
                <w:b/>
                <w:bCs/>
                <w:sz w:val="28"/>
                <w:szCs w:val="28"/>
                <w:lang w:val="it-IT"/>
              </w:rPr>
              <w:t>Meccanismi di garanzia</w:t>
            </w:r>
          </w:p>
          <w:p w14:paraId="29323D85" w14:textId="77777777" w:rsidR="002C41DC" w:rsidRPr="002C41DC" w:rsidRDefault="002C41DC" w:rsidP="002C41DC">
            <w:pPr>
              <w:jc w:val="both"/>
              <w:rPr>
                <w:rFonts w:ascii="Arial" w:hAnsi="Arial" w:cs="Arial"/>
                <w:sz w:val="24"/>
                <w:szCs w:val="24"/>
                <w:lang w:val="it-IT"/>
              </w:rPr>
            </w:pPr>
            <w:r w:rsidRPr="002C41DC">
              <w:rPr>
                <w:rFonts w:ascii="Arial" w:hAnsi="Arial" w:cs="Arial"/>
                <w:sz w:val="24"/>
                <w:szCs w:val="24"/>
                <w:lang w:val="it-IT"/>
              </w:rPr>
              <w:t>Q23.</w:t>
            </w:r>
          </w:p>
          <w:p w14:paraId="30826C33" w14:textId="076EE253" w:rsidR="002C41DC" w:rsidRDefault="002C41DC" w:rsidP="002C41DC">
            <w:pPr>
              <w:jc w:val="both"/>
              <w:rPr>
                <w:rFonts w:ascii="Arial" w:hAnsi="Arial" w:cs="Arial"/>
                <w:sz w:val="24"/>
                <w:szCs w:val="24"/>
                <w:lang w:val="it-IT"/>
              </w:rPr>
            </w:pPr>
            <w:r w:rsidRPr="002C41DC">
              <w:rPr>
                <w:rFonts w:ascii="Arial" w:hAnsi="Arial" w:cs="Arial"/>
                <w:sz w:val="24"/>
                <w:szCs w:val="24"/>
                <w:lang w:val="it-IT"/>
              </w:rPr>
              <w:lastRenderedPageBreak/>
              <w:t>Si concorda con la proposta dell’Autorità relativa alla determinazione delle entrate tariffarie nel caso di inerzia del gestore? Motivare la risposta.</w:t>
            </w:r>
          </w:p>
          <w:p w14:paraId="5412506D" w14:textId="77777777" w:rsidR="002C41DC" w:rsidRDefault="002C41DC" w:rsidP="002C41DC">
            <w:pPr>
              <w:jc w:val="both"/>
              <w:rPr>
                <w:rFonts w:ascii="Arial" w:hAnsi="Arial" w:cs="Arial"/>
                <w:sz w:val="24"/>
                <w:szCs w:val="24"/>
                <w:lang w:val="it-IT"/>
              </w:rPr>
            </w:pPr>
          </w:p>
          <w:p w14:paraId="018438F7" w14:textId="6BF78B7E" w:rsidR="002C41DC" w:rsidRPr="00FD1ECB" w:rsidRDefault="00FD1ECB" w:rsidP="002C41DC">
            <w:pPr>
              <w:jc w:val="both"/>
              <w:rPr>
                <w:rFonts w:ascii="Arial" w:hAnsi="Arial" w:cs="Arial"/>
                <w:b/>
                <w:bCs/>
                <w:sz w:val="28"/>
                <w:szCs w:val="28"/>
                <w:lang w:val="it-IT"/>
              </w:rPr>
            </w:pPr>
            <w:r w:rsidRPr="00FD1ECB">
              <w:rPr>
                <w:rFonts w:ascii="Arial" w:hAnsi="Arial" w:cs="Arial"/>
                <w:b/>
                <w:bCs/>
                <w:sz w:val="28"/>
                <w:szCs w:val="28"/>
                <w:lang w:val="it-IT"/>
              </w:rPr>
              <w:t>Schemi e modelli per la predisposizione tariffaria.</w:t>
            </w:r>
          </w:p>
          <w:p w14:paraId="68B8BB93" w14:textId="77777777" w:rsidR="00FD1ECB" w:rsidRDefault="00FD1ECB" w:rsidP="002C41DC">
            <w:pPr>
              <w:jc w:val="both"/>
              <w:rPr>
                <w:rFonts w:ascii="Arial" w:hAnsi="Arial" w:cs="Arial"/>
                <w:sz w:val="24"/>
                <w:szCs w:val="24"/>
                <w:lang w:val="it-IT"/>
              </w:rPr>
            </w:pPr>
          </w:p>
          <w:p w14:paraId="32D9BF95" w14:textId="77777777" w:rsidR="00FD1ECB" w:rsidRPr="00FD1ECB" w:rsidRDefault="00FD1ECB" w:rsidP="00FD1ECB">
            <w:pPr>
              <w:jc w:val="both"/>
              <w:rPr>
                <w:rFonts w:ascii="Arial" w:hAnsi="Arial" w:cs="Arial"/>
                <w:sz w:val="24"/>
                <w:szCs w:val="24"/>
                <w:lang w:val="it-IT"/>
              </w:rPr>
            </w:pPr>
            <w:r w:rsidRPr="00FD1ECB">
              <w:rPr>
                <w:rFonts w:ascii="Arial" w:hAnsi="Arial" w:cs="Arial"/>
                <w:sz w:val="24"/>
                <w:szCs w:val="24"/>
                <w:lang w:val="it-IT"/>
              </w:rPr>
              <w:t>Q24.</w:t>
            </w:r>
          </w:p>
          <w:p w14:paraId="75649FAE" w14:textId="669783EE" w:rsidR="002C41DC" w:rsidRDefault="00FD1ECB" w:rsidP="00FD1ECB">
            <w:pPr>
              <w:jc w:val="both"/>
              <w:rPr>
                <w:rFonts w:ascii="Arial" w:hAnsi="Arial" w:cs="Arial"/>
                <w:sz w:val="24"/>
                <w:szCs w:val="24"/>
                <w:lang w:val="it-IT"/>
              </w:rPr>
            </w:pPr>
            <w:r w:rsidRPr="00FD1ECB">
              <w:rPr>
                <w:rFonts w:ascii="Arial" w:hAnsi="Arial" w:cs="Arial"/>
                <w:sz w:val="24"/>
                <w:szCs w:val="24"/>
                <w:lang w:val="it-IT"/>
              </w:rPr>
              <w:t>Quali elementi si ritiene opportuno rappresentare nei modelli alla base delle predisposizioni tariffarie ad integrazione di quelli già previsti? Motivare la risposta.</w:t>
            </w:r>
          </w:p>
          <w:p w14:paraId="46ABB064" w14:textId="77777777" w:rsidR="00FD1ECB" w:rsidRDefault="00FD1ECB" w:rsidP="00FD1ECB">
            <w:pPr>
              <w:jc w:val="both"/>
              <w:rPr>
                <w:rFonts w:ascii="Arial" w:hAnsi="Arial" w:cs="Arial"/>
                <w:sz w:val="24"/>
                <w:szCs w:val="24"/>
                <w:lang w:val="it-IT"/>
              </w:rPr>
            </w:pPr>
          </w:p>
          <w:p w14:paraId="19EC52A4" w14:textId="3719CBB8" w:rsidR="00C62D94" w:rsidRPr="00AA016A" w:rsidRDefault="00C62D94" w:rsidP="00FD1ECB">
            <w:pPr>
              <w:jc w:val="both"/>
              <w:rPr>
                <w:rFonts w:ascii="Arial" w:hAnsi="Arial" w:cs="Arial"/>
                <w:sz w:val="24"/>
                <w:szCs w:val="24"/>
                <w:lang w:val="it-IT"/>
              </w:rPr>
            </w:pPr>
          </w:p>
        </w:tc>
      </w:tr>
    </w:tbl>
    <w:p w14:paraId="39F6D22B" w14:textId="77777777" w:rsidR="00562B75" w:rsidRPr="00C62D94" w:rsidRDefault="00562B75" w:rsidP="00C62D94">
      <w:pPr>
        <w:rPr>
          <w:lang w:val="it-IT"/>
        </w:rPr>
      </w:pPr>
    </w:p>
    <w:sectPr w:rsidR="00562B75" w:rsidRPr="00C62D94" w:rsidSect="00A438FF">
      <w:footerReference w:type="default" r:id="rId8"/>
      <w:pgSz w:w="12240" w:h="15840"/>
      <w:pgMar w:top="1440" w:right="1440" w:bottom="1440" w:left="1440" w:header="720" w:footer="2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EE36E" w14:textId="77777777" w:rsidR="00AC386E" w:rsidRDefault="00AC386E" w:rsidP="005C7167">
      <w:pPr>
        <w:spacing w:after="0" w:line="240" w:lineRule="auto"/>
      </w:pPr>
      <w:r>
        <w:separator/>
      </w:r>
    </w:p>
  </w:endnote>
  <w:endnote w:type="continuationSeparator" w:id="0">
    <w:p w14:paraId="0472DC01" w14:textId="77777777" w:rsidR="00AC386E" w:rsidRDefault="00AC386E" w:rsidP="005C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8294008"/>
      <w:docPartObj>
        <w:docPartGallery w:val="Page Numbers (Bottom of Page)"/>
        <w:docPartUnique/>
      </w:docPartObj>
    </w:sdtPr>
    <w:sdtContent>
      <w:p w14:paraId="44D2915A" w14:textId="1BE524CD" w:rsidR="00A438FF" w:rsidRDefault="00A438FF">
        <w:pPr>
          <w:pStyle w:val="Pidipagina"/>
          <w:jc w:val="right"/>
        </w:pPr>
        <w:r>
          <w:fldChar w:fldCharType="begin"/>
        </w:r>
        <w:r>
          <w:instrText>PAGE   \* MERGEFORMAT</w:instrText>
        </w:r>
        <w:r>
          <w:fldChar w:fldCharType="separate"/>
        </w:r>
        <w:r>
          <w:rPr>
            <w:lang w:val="it-IT"/>
          </w:rPr>
          <w:t>2</w:t>
        </w:r>
        <w:r>
          <w:fldChar w:fldCharType="end"/>
        </w:r>
      </w:p>
    </w:sdtContent>
  </w:sdt>
  <w:p w14:paraId="33969709" w14:textId="77777777" w:rsidR="00A438FF" w:rsidRDefault="00A438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EBD55" w14:textId="77777777" w:rsidR="00AC386E" w:rsidRDefault="00AC386E" w:rsidP="005C7167">
      <w:pPr>
        <w:spacing w:after="0" w:line="240" w:lineRule="auto"/>
      </w:pPr>
      <w:r>
        <w:separator/>
      </w:r>
    </w:p>
  </w:footnote>
  <w:footnote w:type="continuationSeparator" w:id="0">
    <w:p w14:paraId="22F814A7" w14:textId="77777777" w:rsidR="00AC386E" w:rsidRDefault="00AC386E" w:rsidP="005C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84A48"/>
    <w:multiLevelType w:val="hybridMultilevel"/>
    <w:tmpl w:val="D5721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51439DB"/>
    <w:multiLevelType w:val="hybridMultilevel"/>
    <w:tmpl w:val="B218BC48"/>
    <w:lvl w:ilvl="0" w:tplc="873CAF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6522E4"/>
    <w:multiLevelType w:val="hybridMultilevel"/>
    <w:tmpl w:val="0136BA4C"/>
    <w:lvl w:ilvl="0" w:tplc="04090001">
      <w:start w:val="1"/>
      <w:numFmt w:val="bullet"/>
      <w:lvlText w:val=""/>
      <w:lvlJc w:val="left"/>
      <w:pPr>
        <w:ind w:left="420" w:hanging="360"/>
      </w:pPr>
      <w:rPr>
        <w:rFonts w:ascii="Symbol" w:hAnsi="Symbol" w:hint="default"/>
      </w:rPr>
    </w:lvl>
    <w:lvl w:ilvl="1" w:tplc="5B125E32">
      <w:numFmt w:val="bullet"/>
      <w:lvlText w:val="-"/>
      <w:lvlJc w:val="left"/>
      <w:pPr>
        <w:ind w:left="1140" w:hanging="360"/>
      </w:pPr>
      <w:rPr>
        <w:rFonts w:ascii="Calibri" w:eastAsiaTheme="minorHAnsi" w:hAnsi="Calibri" w:cs="Calibri"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4598088A"/>
    <w:multiLevelType w:val="hybridMultilevel"/>
    <w:tmpl w:val="AB4610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533E2EC2"/>
    <w:multiLevelType w:val="hybridMultilevel"/>
    <w:tmpl w:val="83DAB1C8"/>
    <w:lvl w:ilvl="0" w:tplc="7F30CF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5C5808"/>
    <w:multiLevelType w:val="hybridMultilevel"/>
    <w:tmpl w:val="FB6CFC00"/>
    <w:lvl w:ilvl="0" w:tplc="5B125E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5943439">
    <w:abstractNumId w:val="5"/>
  </w:num>
  <w:num w:numId="2" w16cid:durableId="1702589861">
    <w:abstractNumId w:val="3"/>
  </w:num>
  <w:num w:numId="3" w16cid:durableId="1019893267">
    <w:abstractNumId w:val="2"/>
  </w:num>
  <w:num w:numId="4" w16cid:durableId="1024093853">
    <w:abstractNumId w:val="4"/>
  </w:num>
  <w:num w:numId="5" w16cid:durableId="83039337">
    <w:abstractNumId w:val="1"/>
  </w:num>
  <w:num w:numId="6" w16cid:durableId="550582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0039A8"/>
    <w:rsid w:val="00012EA3"/>
    <w:rsid w:val="00024E87"/>
    <w:rsid w:val="00054C4E"/>
    <w:rsid w:val="00055FE1"/>
    <w:rsid w:val="000902C1"/>
    <w:rsid w:val="0009454C"/>
    <w:rsid w:val="000965A0"/>
    <w:rsid w:val="000F4F8A"/>
    <w:rsid w:val="00146E21"/>
    <w:rsid w:val="00147F5F"/>
    <w:rsid w:val="001639BA"/>
    <w:rsid w:val="00181E98"/>
    <w:rsid w:val="001B6D9B"/>
    <w:rsid w:val="001C23AD"/>
    <w:rsid w:val="001D4693"/>
    <w:rsid w:val="001F19C6"/>
    <w:rsid w:val="00200AAC"/>
    <w:rsid w:val="00223ABA"/>
    <w:rsid w:val="00223BEE"/>
    <w:rsid w:val="002333BD"/>
    <w:rsid w:val="00247CB2"/>
    <w:rsid w:val="00253CC5"/>
    <w:rsid w:val="00277B9D"/>
    <w:rsid w:val="00292E65"/>
    <w:rsid w:val="00293F06"/>
    <w:rsid w:val="002B1507"/>
    <w:rsid w:val="002C41DC"/>
    <w:rsid w:val="002E6EA1"/>
    <w:rsid w:val="002F0FFE"/>
    <w:rsid w:val="003069B3"/>
    <w:rsid w:val="00320732"/>
    <w:rsid w:val="00320770"/>
    <w:rsid w:val="00325E33"/>
    <w:rsid w:val="003559D1"/>
    <w:rsid w:val="003576BA"/>
    <w:rsid w:val="00370CE8"/>
    <w:rsid w:val="00390366"/>
    <w:rsid w:val="003C7953"/>
    <w:rsid w:val="003F30A3"/>
    <w:rsid w:val="00421622"/>
    <w:rsid w:val="00433551"/>
    <w:rsid w:val="004530BC"/>
    <w:rsid w:val="004569E5"/>
    <w:rsid w:val="00477781"/>
    <w:rsid w:val="004804EE"/>
    <w:rsid w:val="004973E1"/>
    <w:rsid w:val="004E498E"/>
    <w:rsid w:val="004E5F3A"/>
    <w:rsid w:val="0053743B"/>
    <w:rsid w:val="00545EA0"/>
    <w:rsid w:val="00562B75"/>
    <w:rsid w:val="00570F4B"/>
    <w:rsid w:val="00575CB3"/>
    <w:rsid w:val="00594940"/>
    <w:rsid w:val="005B52AB"/>
    <w:rsid w:val="005B64D6"/>
    <w:rsid w:val="005C7167"/>
    <w:rsid w:val="006156EB"/>
    <w:rsid w:val="006262C0"/>
    <w:rsid w:val="00665A83"/>
    <w:rsid w:val="006750E5"/>
    <w:rsid w:val="006A4401"/>
    <w:rsid w:val="006B2FDE"/>
    <w:rsid w:val="006B527B"/>
    <w:rsid w:val="006F5B07"/>
    <w:rsid w:val="0071334C"/>
    <w:rsid w:val="007153EE"/>
    <w:rsid w:val="00722BD7"/>
    <w:rsid w:val="007257C7"/>
    <w:rsid w:val="0073100B"/>
    <w:rsid w:val="00741394"/>
    <w:rsid w:val="00746288"/>
    <w:rsid w:val="007645F6"/>
    <w:rsid w:val="007A184F"/>
    <w:rsid w:val="007A5BBD"/>
    <w:rsid w:val="007B5814"/>
    <w:rsid w:val="007C304A"/>
    <w:rsid w:val="007E0DCD"/>
    <w:rsid w:val="008316D8"/>
    <w:rsid w:val="00834A1B"/>
    <w:rsid w:val="00863B03"/>
    <w:rsid w:val="008669FE"/>
    <w:rsid w:val="00872FC1"/>
    <w:rsid w:val="008761FA"/>
    <w:rsid w:val="00887AAC"/>
    <w:rsid w:val="00895CB8"/>
    <w:rsid w:val="008A5DDD"/>
    <w:rsid w:val="008F6F9E"/>
    <w:rsid w:val="008F7CF3"/>
    <w:rsid w:val="00912D78"/>
    <w:rsid w:val="0092690B"/>
    <w:rsid w:val="00935911"/>
    <w:rsid w:val="00961297"/>
    <w:rsid w:val="0096268D"/>
    <w:rsid w:val="009710EC"/>
    <w:rsid w:val="0099785C"/>
    <w:rsid w:val="009B5B2D"/>
    <w:rsid w:val="009C39A0"/>
    <w:rsid w:val="009D488D"/>
    <w:rsid w:val="009D51AC"/>
    <w:rsid w:val="009E56D5"/>
    <w:rsid w:val="009F4D29"/>
    <w:rsid w:val="00A107E5"/>
    <w:rsid w:val="00A438FF"/>
    <w:rsid w:val="00A578B8"/>
    <w:rsid w:val="00A610FC"/>
    <w:rsid w:val="00A61903"/>
    <w:rsid w:val="00A7148C"/>
    <w:rsid w:val="00AA016A"/>
    <w:rsid w:val="00AC386E"/>
    <w:rsid w:val="00AE45F1"/>
    <w:rsid w:val="00B00D9B"/>
    <w:rsid w:val="00B01622"/>
    <w:rsid w:val="00B10C29"/>
    <w:rsid w:val="00B157A4"/>
    <w:rsid w:val="00B40D7D"/>
    <w:rsid w:val="00B42560"/>
    <w:rsid w:val="00B47600"/>
    <w:rsid w:val="00B55D33"/>
    <w:rsid w:val="00B651FE"/>
    <w:rsid w:val="00B7001F"/>
    <w:rsid w:val="00B7737A"/>
    <w:rsid w:val="00B92AEA"/>
    <w:rsid w:val="00BA0421"/>
    <w:rsid w:val="00BD5EB0"/>
    <w:rsid w:val="00C05C7E"/>
    <w:rsid w:val="00C224E7"/>
    <w:rsid w:val="00C24707"/>
    <w:rsid w:val="00C25585"/>
    <w:rsid w:val="00C42EED"/>
    <w:rsid w:val="00C46395"/>
    <w:rsid w:val="00C4795D"/>
    <w:rsid w:val="00C62D94"/>
    <w:rsid w:val="00CE34F2"/>
    <w:rsid w:val="00CF7D0B"/>
    <w:rsid w:val="00D1088F"/>
    <w:rsid w:val="00D16D02"/>
    <w:rsid w:val="00D37AF5"/>
    <w:rsid w:val="00D51245"/>
    <w:rsid w:val="00D515A6"/>
    <w:rsid w:val="00D53E9D"/>
    <w:rsid w:val="00D87402"/>
    <w:rsid w:val="00D92A1F"/>
    <w:rsid w:val="00DF514D"/>
    <w:rsid w:val="00E2196A"/>
    <w:rsid w:val="00E224BA"/>
    <w:rsid w:val="00E24F7E"/>
    <w:rsid w:val="00E46AB5"/>
    <w:rsid w:val="00E47EBA"/>
    <w:rsid w:val="00E961F1"/>
    <w:rsid w:val="00EE22D6"/>
    <w:rsid w:val="00EF3E47"/>
    <w:rsid w:val="00F207ED"/>
    <w:rsid w:val="00F253D3"/>
    <w:rsid w:val="00F33ECA"/>
    <w:rsid w:val="00F463DF"/>
    <w:rsid w:val="00F57CE3"/>
    <w:rsid w:val="00F62F31"/>
    <w:rsid w:val="00F937FC"/>
    <w:rsid w:val="00FB1BC7"/>
    <w:rsid w:val="00FD1ECB"/>
    <w:rsid w:val="00FE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6BCCB"/>
  <w15:docId w15:val="{1C435B41-B3EF-46CC-87FC-DCD7696F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2D9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33BD"/>
    <w:pPr>
      <w:ind w:left="720"/>
      <w:contextualSpacing/>
    </w:pPr>
    <w:rPr>
      <w:lang w:val="it-IT"/>
    </w:rPr>
  </w:style>
  <w:style w:type="paragraph" w:customStyle="1" w:styleId="Default">
    <w:name w:val="Default"/>
    <w:rsid w:val="0099785C"/>
    <w:pPr>
      <w:autoSpaceDE w:val="0"/>
      <w:autoSpaceDN w:val="0"/>
      <w:adjustRightInd w:val="0"/>
      <w:spacing w:after="0" w:line="240" w:lineRule="auto"/>
    </w:pPr>
    <w:rPr>
      <w:rFonts w:ascii="Arial" w:hAnsi="Arial" w:cs="Arial"/>
      <w:color w:val="000000"/>
      <w:sz w:val="24"/>
      <w:szCs w:val="24"/>
      <w:lang w:val="it-IT"/>
    </w:rPr>
  </w:style>
  <w:style w:type="paragraph" w:styleId="Testonotaapidipagina">
    <w:name w:val="footnote text"/>
    <w:basedOn w:val="Normale"/>
    <w:link w:val="TestonotaapidipaginaCarattere"/>
    <w:uiPriority w:val="99"/>
    <w:semiHidden/>
    <w:unhideWhenUsed/>
    <w:rsid w:val="005C7167"/>
    <w:pPr>
      <w:spacing w:after="0" w:line="240" w:lineRule="auto"/>
    </w:pPr>
    <w:rPr>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5C7167"/>
    <w:rPr>
      <w:sz w:val="20"/>
      <w:szCs w:val="20"/>
      <w:lang w:val="it-IT"/>
    </w:rPr>
  </w:style>
  <w:style w:type="character" w:styleId="Rimandonotaapidipagina">
    <w:name w:val="footnote reference"/>
    <w:basedOn w:val="Carpredefinitoparagrafo"/>
    <w:uiPriority w:val="99"/>
    <w:semiHidden/>
    <w:unhideWhenUsed/>
    <w:rsid w:val="005C7167"/>
    <w:rPr>
      <w:vertAlign w:val="superscript"/>
    </w:rPr>
  </w:style>
  <w:style w:type="character" w:styleId="Collegamentoipertestuale">
    <w:name w:val="Hyperlink"/>
    <w:basedOn w:val="Carpredefinitoparagrafo"/>
    <w:uiPriority w:val="99"/>
    <w:unhideWhenUsed/>
    <w:rsid w:val="00C62D94"/>
    <w:rPr>
      <w:color w:val="0563C1" w:themeColor="hyperlink"/>
      <w:u w:val="single"/>
    </w:rPr>
  </w:style>
  <w:style w:type="character" w:styleId="Menzionenonrisolta">
    <w:name w:val="Unresolved Mention"/>
    <w:basedOn w:val="Carpredefinitoparagrafo"/>
    <w:uiPriority w:val="99"/>
    <w:semiHidden/>
    <w:unhideWhenUsed/>
    <w:rsid w:val="00C62D94"/>
    <w:rPr>
      <w:color w:val="605E5C"/>
      <w:shd w:val="clear" w:color="auto" w:fill="E1DFDD"/>
    </w:rPr>
  </w:style>
  <w:style w:type="paragraph" w:styleId="Intestazione">
    <w:name w:val="header"/>
    <w:basedOn w:val="Normale"/>
    <w:link w:val="IntestazioneCarattere"/>
    <w:uiPriority w:val="99"/>
    <w:unhideWhenUsed/>
    <w:rsid w:val="00A438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38FF"/>
  </w:style>
  <w:style w:type="paragraph" w:styleId="Pidipagina">
    <w:name w:val="footer"/>
    <w:basedOn w:val="Normale"/>
    <w:link w:val="PidipaginaCarattere"/>
    <w:uiPriority w:val="99"/>
    <w:unhideWhenUsed/>
    <w:rsid w:val="00A438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3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641">
      <w:bodyDiv w:val="1"/>
      <w:marLeft w:val="0"/>
      <w:marRight w:val="0"/>
      <w:marTop w:val="0"/>
      <w:marBottom w:val="0"/>
      <w:divBdr>
        <w:top w:val="none" w:sz="0" w:space="0" w:color="auto"/>
        <w:left w:val="none" w:sz="0" w:space="0" w:color="auto"/>
        <w:bottom w:val="none" w:sz="0" w:space="0" w:color="auto"/>
        <w:right w:val="none" w:sz="0" w:space="0" w:color="auto"/>
      </w:divBdr>
    </w:div>
    <w:div w:id="912276029">
      <w:bodyDiv w:val="1"/>
      <w:marLeft w:val="0"/>
      <w:marRight w:val="0"/>
      <w:marTop w:val="0"/>
      <w:marBottom w:val="0"/>
      <w:divBdr>
        <w:top w:val="none" w:sz="0" w:space="0" w:color="auto"/>
        <w:left w:val="none" w:sz="0" w:space="0" w:color="auto"/>
        <w:bottom w:val="none" w:sz="0" w:space="0" w:color="auto"/>
        <w:right w:val="none" w:sz="0" w:space="0" w:color="auto"/>
      </w:divBdr>
    </w:div>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tosto@fi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1031</Words>
  <Characters>5880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Assoambiente</cp:lastModifiedBy>
  <cp:revision>2</cp:revision>
  <dcterms:created xsi:type="dcterms:W3CDTF">2025-04-21T07:07:00Z</dcterms:created>
  <dcterms:modified xsi:type="dcterms:W3CDTF">2025-04-21T07:07:00Z</dcterms:modified>
</cp:coreProperties>
</file>