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AAF4B" w14:textId="77777777" w:rsidR="00C62D94" w:rsidRPr="00390366" w:rsidRDefault="00C62D94" w:rsidP="00C62D94">
      <w:pPr>
        <w:jc w:val="both"/>
        <w:rPr>
          <w:rFonts w:ascii="Arial" w:hAnsi="Arial" w:cs="Arial"/>
          <w:b/>
          <w:bCs/>
          <w:i/>
          <w:iCs/>
          <w:sz w:val="24"/>
          <w:szCs w:val="24"/>
          <w:lang w:val="it-IT"/>
        </w:rPr>
      </w:pPr>
    </w:p>
    <w:tbl>
      <w:tblPr>
        <w:tblStyle w:val="Grigliatabella"/>
        <w:tblW w:w="0" w:type="auto"/>
        <w:tblBorders>
          <w:top w:val="wave" w:sz="6" w:space="0" w:color="auto"/>
          <w:left w:val="wave" w:sz="6" w:space="0" w:color="auto"/>
          <w:bottom w:val="wave" w:sz="6" w:space="0" w:color="auto"/>
          <w:right w:val="wave" w:sz="6" w:space="0" w:color="auto"/>
          <w:insideH w:val="wave" w:sz="6" w:space="0" w:color="auto"/>
          <w:insideV w:val="wave" w:sz="6" w:space="0" w:color="auto"/>
        </w:tblBorders>
        <w:tblLook w:val="04A0" w:firstRow="1" w:lastRow="0" w:firstColumn="1" w:lastColumn="0" w:noHBand="0" w:noVBand="1"/>
      </w:tblPr>
      <w:tblGrid>
        <w:gridCol w:w="9300"/>
      </w:tblGrid>
      <w:tr w:rsidR="00C62D94" w:rsidRPr="00B20C36" w14:paraId="129856A2" w14:textId="77777777" w:rsidTr="001F19C6">
        <w:tc>
          <w:tcPr>
            <w:tcW w:w="9350" w:type="dxa"/>
          </w:tcPr>
          <w:p w14:paraId="4F94A275" w14:textId="30B177A3" w:rsidR="00594940" w:rsidRDefault="00C62D94" w:rsidP="00912D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</w:pPr>
            <w:r w:rsidRPr="00C62D94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  <w:t>DOCUMENTO PER LA CONSULTAZIONE</w:t>
            </w:r>
            <w:r w:rsidRPr="00C62D94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  <w:t xml:space="preserve"> ARERA </w:t>
            </w:r>
            <w:r w:rsidR="00C42EED" w:rsidRPr="00C42EE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  <w:t>1</w:t>
            </w:r>
            <w:r w:rsidR="0043441E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  <w:t>79</w:t>
            </w:r>
            <w:r w:rsidR="00C42EED" w:rsidRPr="00C42EE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  <w:t>/2025/R/RIF</w:t>
            </w:r>
            <w:r w:rsidR="00C42EED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  <w:t xml:space="preserve"> </w:t>
            </w:r>
          </w:p>
          <w:p w14:paraId="2178509C" w14:textId="49E7CCD2" w:rsidR="00C62D94" w:rsidRPr="00912D78" w:rsidRDefault="00C62D94" w:rsidP="00E961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</w:pPr>
            <w:r w:rsidRPr="00C62D94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  <w:t xml:space="preserve">riguardante </w:t>
            </w:r>
            <w:r w:rsidR="00E961F1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  <w:t>“</w:t>
            </w:r>
            <w:r w:rsidR="00E41F20" w:rsidRPr="00B20C36">
              <w:rPr>
                <w:lang w:val="it-IT"/>
              </w:rPr>
              <w:t xml:space="preserve"> </w:t>
            </w:r>
            <w:r w:rsidR="00E41F20" w:rsidRPr="00E41F20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  <w:t>ORIENTAMENTI INIZIALI PER LA DEFINIZIONE DI PRIMI CRITERI DI ARTICOLAZIONE TARIFFARIA AGLI UTENTI DEL SERVIZIO DI GESTIONE DEI RIFIUTI URBANI</w:t>
            </w:r>
            <w:r w:rsidR="00E41F20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  <w:t xml:space="preserve"> - </w:t>
            </w:r>
            <w:r w:rsidR="00E41F20" w:rsidRPr="00E41F20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  <w:t>Inquadramento generale e linee di intervento</w:t>
            </w:r>
            <w:r w:rsidR="00594940" w:rsidRPr="00912D78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x-none"/>
              </w:rPr>
              <w:t>”</w:t>
            </w:r>
          </w:p>
          <w:p w14:paraId="3E696021" w14:textId="77777777" w:rsidR="00594940" w:rsidRPr="00594940" w:rsidRDefault="00594940" w:rsidP="00594940">
            <w:pPr>
              <w:jc w:val="both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</w:pPr>
          </w:p>
          <w:p w14:paraId="1FB92679" w14:textId="0CC685BD" w:rsidR="00C62D94" w:rsidRDefault="00C42EED" w:rsidP="001F19C6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osservazioni </w:t>
            </w:r>
            <w:r w:rsidR="00C62D94" w:rsidRPr="00C62D94"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>Assoambiente</w:t>
            </w:r>
          </w:p>
          <w:p w14:paraId="1D05B378" w14:textId="057F8C05" w:rsidR="00C62D94" w:rsidRDefault="00C62D94" w:rsidP="001F19C6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Invio a </w:t>
            </w:r>
            <w:hyperlink r:id="rId7" w:history="1">
              <w:r w:rsidRPr="002F7586">
                <w:rPr>
                  <w:rStyle w:val="Collegamentoipertestuale"/>
                  <w:rFonts w:ascii="Arial" w:hAnsi="Arial" w:cs="Arial"/>
                  <w:b/>
                  <w:bCs/>
                  <w:i/>
                  <w:iCs/>
                  <w:sz w:val="24"/>
                  <w:szCs w:val="24"/>
                  <w:lang w:val="it-IT"/>
                </w:rPr>
                <w:t>l.tosto@fise.org</w:t>
              </w:r>
            </w:hyperlink>
            <w:r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 entro </w:t>
            </w:r>
            <w:r w:rsidR="00BA0421"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e non oltre </w:t>
            </w:r>
            <w:r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>il</w:t>
            </w:r>
            <w:r w:rsidR="00912D78"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 </w:t>
            </w:r>
            <w:r w:rsidR="00E961F1"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>13 maggio</w:t>
            </w:r>
            <w:r w:rsidR="00C42EED">
              <w:rPr>
                <w:rFonts w:ascii="Arial" w:hAnsi="Arial" w:cs="Arial"/>
                <w:b/>
                <w:bCs/>
                <w:i/>
                <w:iCs/>
                <w:color w:val="C00000"/>
                <w:sz w:val="24"/>
                <w:szCs w:val="24"/>
                <w:lang w:val="it-IT"/>
              </w:rPr>
              <w:t xml:space="preserve"> 2025</w:t>
            </w:r>
          </w:p>
          <w:p w14:paraId="7EC2CF51" w14:textId="77777777" w:rsidR="00C62D94" w:rsidRPr="00AE45F1" w:rsidRDefault="00C62D94" w:rsidP="001F19C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it-IT"/>
              </w:rPr>
            </w:pPr>
          </w:p>
        </w:tc>
      </w:tr>
    </w:tbl>
    <w:p w14:paraId="7940303B" w14:textId="77777777" w:rsidR="00C62D94" w:rsidRPr="00390366" w:rsidRDefault="00C62D94" w:rsidP="00C62D94">
      <w:pPr>
        <w:jc w:val="center"/>
        <w:rPr>
          <w:rFonts w:ascii="Arial" w:hAnsi="Arial" w:cs="Arial"/>
          <w:b/>
          <w:bCs/>
          <w:i/>
          <w:iCs/>
          <w:sz w:val="24"/>
          <w:szCs w:val="24"/>
          <w:lang w:val="it-IT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val="it-IT"/>
        </w:rPr>
        <w:t>***</w:t>
      </w:r>
    </w:p>
    <w:p w14:paraId="17CE1ECA" w14:textId="77777777" w:rsidR="00C62D94" w:rsidRPr="00AA016A" w:rsidRDefault="00C62D94" w:rsidP="00C62D94">
      <w:pPr>
        <w:jc w:val="both"/>
        <w:rPr>
          <w:rFonts w:ascii="Arial" w:hAnsi="Arial" w:cs="Arial"/>
          <w:b/>
          <w:bCs/>
          <w:i/>
          <w:iCs/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62D94" w:rsidRPr="008316D8" w14:paraId="1A2B1EFE" w14:textId="77777777" w:rsidTr="001F19C6">
        <w:tc>
          <w:tcPr>
            <w:tcW w:w="9350" w:type="dxa"/>
          </w:tcPr>
          <w:p w14:paraId="171B5C06" w14:textId="5F2FBAF8" w:rsidR="00277B9D" w:rsidRPr="00277B9D" w:rsidRDefault="00277B9D" w:rsidP="00293F0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  <w:lang w:val="it-IT"/>
              </w:rPr>
            </w:pPr>
            <w:r w:rsidRPr="00277B9D">
              <w:rPr>
                <w:rFonts w:ascii="Arial" w:hAnsi="Arial" w:cs="Arial"/>
                <w:b/>
                <w:bCs/>
                <w:sz w:val="28"/>
                <w:szCs w:val="28"/>
                <w:u w:val="single"/>
                <w:lang w:val="it-IT"/>
              </w:rPr>
              <w:t>Motivare le risposte</w:t>
            </w:r>
          </w:p>
          <w:p w14:paraId="4F10BD27" w14:textId="77777777" w:rsidR="00C42EED" w:rsidRDefault="00C42EED" w:rsidP="00293F0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it-IT"/>
              </w:rPr>
            </w:pPr>
          </w:p>
          <w:p w14:paraId="011F9979" w14:textId="11CE26C3" w:rsidR="0043441E" w:rsidRDefault="00E41F20" w:rsidP="0043441E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it-IT"/>
              </w:rPr>
            </w:pPr>
            <w:r w:rsidRPr="00E41F20">
              <w:rPr>
                <w:rFonts w:ascii="Arial" w:hAnsi="Arial" w:cs="Arial"/>
                <w:b/>
                <w:bCs/>
                <w:sz w:val="28"/>
                <w:szCs w:val="28"/>
                <w:lang w:val="it-IT"/>
              </w:rPr>
              <w:t>Introduzione e obiettivi</w:t>
            </w:r>
          </w:p>
          <w:p w14:paraId="4D9C7900" w14:textId="77777777" w:rsidR="00E41F20" w:rsidRPr="0043441E" w:rsidRDefault="00E41F20" w:rsidP="0043441E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it-IT"/>
              </w:rPr>
            </w:pPr>
          </w:p>
          <w:p w14:paraId="344F626B" w14:textId="77777777" w:rsidR="0043441E" w:rsidRDefault="0043441E" w:rsidP="0043441E">
            <w:pPr>
              <w:jc w:val="both"/>
              <w:rPr>
                <w:rFonts w:ascii="Arial" w:hAnsi="Arial" w:cs="Arial"/>
                <w:i/>
                <w:iCs/>
                <w:sz w:val="24"/>
                <w:szCs w:val="24"/>
                <w:lang w:val="it-IT"/>
              </w:rPr>
            </w:pPr>
            <w:r w:rsidRPr="0043441E">
              <w:rPr>
                <w:rFonts w:ascii="Arial" w:hAnsi="Arial" w:cs="Arial"/>
                <w:sz w:val="24"/>
                <w:szCs w:val="24"/>
                <w:lang w:val="it-IT"/>
              </w:rPr>
              <w:t xml:space="preserve">Q1. </w:t>
            </w:r>
            <w:r w:rsidRPr="0043441E">
              <w:rPr>
                <w:rFonts w:ascii="Arial" w:hAnsi="Arial" w:cs="Arial"/>
                <w:i/>
                <w:iCs/>
                <w:sz w:val="24"/>
                <w:szCs w:val="24"/>
                <w:lang w:val="it-IT"/>
              </w:rPr>
              <w:t xml:space="preserve">Si condividono le aree di intervento prioritarie prospettate in termini generali dall’Autorità? Motivare la risposta. </w:t>
            </w:r>
          </w:p>
          <w:p w14:paraId="1BC4D240" w14:textId="77777777" w:rsidR="00E41F20" w:rsidRPr="0043441E" w:rsidRDefault="00E41F20" w:rsidP="0043441E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14:paraId="647F63D5" w14:textId="77777777" w:rsidR="0043441E" w:rsidRDefault="0043441E" w:rsidP="0043441E">
            <w:pPr>
              <w:jc w:val="both"/>
              <w:rPr>
                <w:rFonts w:ascii="Arial" w:hAnsi="Arial" w:cs="Arial"/>
                <w:i/>
                <w:iCs/>
                <w:sz w:val="24"/>
                <w:szCs w:val="24"/>
                <w:lang w:val="it-IT"/>
              </w:rPr>
            </w:pPr>
            <w:r w:rsidRPr="0043441E">
              <w:rPr>
                <w:rFonts w:ascii="Arial" w:hAnsi="Arial" w:cs="Arial"/>
                <w:sz w:val="24"/>
                <w:szCs w:val="24"/>
                <w:lang w:val="it-IT"/>
              </w:rPr>
              <w:t xml:space="preserve">Q2. </w:t>
            </w:r>
            <w:r w:rsidRPr="0043441E">
              <w:rPr>
                <w:rFonts w:ascii="Arial" w:hAnsi="Arial" w:cs="Arial"/>
                <w:i/>
                <w:iCs/>
                <w:sz w:val="24"/>
                <w:szCs w:val="24"/>
                <w:lang w:val="it-IT"/>
              </w:rPr>
              <w:t xml:space="preserve">Si condividono gli obiettivi specifici che, nell’ambito delle competenze dell’Autorità, devono essere perseguiti e utilizzati nel corso dell’AIR per il presente procedimento? Si ritiene ve ne siano di ulteriori? Motivare la risposta. </w:t>
            </w:r>
          </w:p>
          <w:p w14:paraId="0C7FCD5B" w14:textId="77777777" w:rsidR="00E41F20" w:rsidRPr="0043441E" w:rsidRDefault="00E41F20" w:rsidP="0043441E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14:paraId="0625DA3B" w14:textId="77777777" w:rsidR="0043441E" w:rsidRPr="00E41F20" w:rsidRDefault="0043441E" w:rsidP="0043441E">
            <w:pPr>
              <w:jc w:val="both"/>
              <w:rPr>
                <w:rFonts w:ascii="Arial" w:hAnsi="Arial" w:cs="Arial"/>
                <w:i/>
                <w:iCs/>
                <w:sz w:val="24"/>
                <w:szCs w:val="24"/>
                <w:lang w:val="it-IT"/>
              </w:rPr>
            </w:pPr>
            <w:r w:rsidRPr="0043441E">
              <w:rPr>
                <w:rFonts w:ascii="Arial" w:hAnsi="Arial" w:cs="Arial"/>
                <w:sz w:val="24"/>
                <w:szCs w:val="24"/>
                <w:lang w:val="it-IT"/>
              </w:rPr>
              <w:t xml:space="preserve">Q3. </w:t>
            </w:r>
            <w:r w:rsidRPr="0043441E">
              <w:rPr>
                <w:rFonts w:ascii="Arial" w:hAnsi="Arial" w:cs="Arial"/>
                <w:i/>
                <w:iCs/>
                <w:sz w:val="24"/>
                <w:szCs w:val="24"/>
                <w:lang w:val="it-IT"/>
              </w:rPr>
              <w:t xml:space="preserve">Si rinvengono elementi di criticità nelle tempistiche prospettate? Motivare la risposta. </w:t>
            </w:r>
          </w:p>
          <w:p w14:paraId="58AFEC97" w14:textId="77777777" w:rsidR="0043441E" w:rsidRPr="0043441E" w:rsidRDefault="0043441E" w:rsidP="0043441E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it-IT"/>
              </w:rPr>
            </w:pPr>
          </w:p>
          <w:p w14:paraId="595088A3" w14:textId="324BCAD7" w:rsidR="0043441E" w:rsidRDefault="00E41F20" w:rsidP="0043441E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it-IT"/>
              </w:rPr>
            </w:pPr>
            <w:r w:rsidRPr="00E41F20">
              <w:rPr>
                <w:rFonts w:ascii="Arial" w:hAnsi="Arial" w:cs="Arial"/>
                <w:b/>
                <w:bCs/>
                <w:sz w:val="28"/>
                <w:szCs w:val="28"/>
                <w:lang w:val="it-IT"/>
              </w:rPr>
              <w:t>Contesto europeo e rassegna di alcune esperienze</w:t>
            </w:r>
          </w:p>
          <w:p w14:paraId="5218B674" w14:textId="77777777" w:rsidR="00E41F20" w:rsidRPr="0043441E" w:rsidRDefault="00E41F20" w:rsidP="0043441E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it-IT"/>
              </w:rPr>
            </w:pPr>
          </w:p>
          <w:p w14:paraId="701441EE" w14:textId="77777777" w:rsidR="0043441E" w:rsidRPr="00E41F20" w:rsidRDefault="0043441E" w:rsidP="0043441E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43441E">
              <w:rPr>
                <w:rFonts w:ascii="Arial" w:hAnsi="Arial" w:cs="Arial"/>
                <w:sz w:val="24"/>
                <w:szCs w:val="24"/>
                <w:lang w:val="it-IT"/>
              </w:rPr>
              <w:t xml:space="preserve">Q4. Vi sono ulteriori elementi informativi o esperienze che si ritiene utile segnalare con riferimento sia a modelli di tariffazione del servizio di gestione dei rifiuti urbani adottati a livello europeo sia all’utilizzo di ulteriori possibili driver per articolare la tariffa o il tributo all’utente finale? Argomentare la risposta anche fornendo riferimenti bibliografici a studi, pubblicazioni, banche dati o a siti anche istituzionali di potenziale interesse. </w:t>
            </w:r>
          </w:p>
          <w:p w14:paraId="0FEB598D" w14:textId="77777777" w:rsidR="0043441E" w:rsidRPr="0043441E" w:rsidRDefault="0043441E" w:rsidP="0043441E">
            <w:pPr>
              <w:jc w:val="both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</w:pPr>
          </w:p>
          <w:p w14:paraId="5B1263A2" w14:textId="061DBA69" w:rsidR="0043441E" w:rsidRPr="0043441E" w:rsidRDefault="00E41F20" w:rsidP="0043441E">
            <w:pPr>
              <w:jc w:val="both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  <w:t>C</w:t>
            </w:r>
            <w:r w:rsidRPr="0043441E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  <w:t>ontesto nazionale</w:t>
            </w:r>
          </w:p>
          <w:p w14:paraId="6081EBDC" w14:textId="77777777" w:rsidR="0043441E" w:rsidRPr="0043441E" w:rsidRDefault="0043441E" w:rsidP="0043441E">
            <w:pPr>
              <w:jc w:val="both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it-IT"/>
              </w:rPr>
            </w:pPr>
          </w:p>
          <w:p w14:paraId="22E35B27" w14:textId="7E724AF4" w:rsidR="0043441E" w:rsidRPr="0043441E" w:rsidRDefault="0043441E" w:rsidP="0043441E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41F20">
              <w:rPr>
                <w:rFonts w:ascii="Arial" w:hAnsi="Arial" w:cs="Arial"/>
                <w:sz w:val="24"/>
                <w:szCs w:val="24"/>
                <w:lang w:val="it-IT"/>
              </w:rPr>
              <w:t>Q5. Nella sua schematicità, si ritiene esaustiva la descrizione dei principali riferimenti normativi a livello nazionale e la relativa classificazione prospettata? Si ravvisano ulteriori elementi ritenuti rilevanti in merito all’articolazione dei corrispettivi alle utenze nel settore della gestione dei rifiuti urbani? Motivare la risposta.</w:t>
            </w:r>
          </w:p>
          <w:p w14:paraId="4689D2D0" w14:textId="77777777" w:rsidR="0043441E" w:rsidRPr="0043441E" w:rsidRDefault="0043441E" w:rsidP="0043441E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it-IT"/>
              </w:rPr>
            </w:pPr>
          </w:p>
          <w:p w14:paraId="0B572A72" w14:textId="7251BB01" w:rsidR="0043441E" w:rsidRPr="0043441E" w:rsidRDefault="0043441E" w:rsidP="00E961F1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it-IT"/>
              </w:rPr>
            </w:pPr>
            <w:r w:rsidRPr="0043441E">
              <w:rPr>
                <w:rFonts w:ascii="Arial" w:hAnsi="Arial" w:cs="Arial"/>
                <w:b/>
                <w:bCs/>
                <w:sz w:val="28"/>
                <w:szCs w:val="28"/>
                <w:lang w:val="it-IT"/>
              </w:rPr>
              <w:lastRenderedPageBreak/>
              <w:t>E</w:t>
            </w:r>
            <w:r w:rsidR="00E41F20" w:rsidRPr="0043441E">
              <w:rPr>
                <w:rFonts w:ascii="Arial" w:hAnsi="Arial" w:cs="Arial"/>
                <w:b/>
                <w:bCs/>
                <w:sz w:val="28"/>
                <w:szCs w:val="28"/>
                <w:lang w:val="it-IT"/>
              </w:rPr>
              <w:t>videnze dell’indagine conoscitiva</w:t>
            </w:r>
          </w:p>
          <w:p w14:paraId="7FE68FB4" w14:textId="77777777" w:rsidR="0043441E" w:rsidRPr="0043441E" w:rsidRDefault="0043441E" w:rsidP="00E961F1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it-IT"/>
              </w:rPr>
            </w:pPr>
          </w:p>
          <w:p w14:paraId="5E947965" w14:textId="6A3C7CBE" w:rsidR="0043441E" w:rsidRPr="00E41F20" w:rsidRDefault="0043441E" w:rsidP="00E961F1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E41F20">
              <w:rPr>
                <w:rFonts w:ascii="Arial" w:hAnsi="Arial" w:cs="Arial"/>
                <w:sz w:val="24"/>
                <w:szCs w:val="24"/>
                <w:lang w:val="it-IT"/>
              </w:rPr>
              <w:t>Q6. Vi sono ulteriori evidenze, ad integrazione dei principali elementi emersi nell’ambito dell’indagine conoscitiva, che si ritiene utile segnalare? Argomentare la risposta anche riferendosi a studi e pubblicazioni disponibili.</w:t>
            </w:r>
          </w:p>
          <w:p w14:paraId="3C5AD36A" w14:textId="77777777" w:rsidR="0043441E" w:rsidRDefault="0043441E" w:rsidP="00E961F1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14:paraId="6E4CF2A0" w14:textId="00C98625" w:rsidR="00AF17B2" w:rsidRPr="00AF17B2" w:rsidRDefault="00AF17B2" w:rsidP="00E961F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  <w:r w:rsidRPr="00AF17B2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L</w:t>
            </w:r>
            <w:r w:rsidR="00E41F20" w:rsidRPr="00AF17B2"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  <w:t>inee di intervento ed orientamenti su misura e articolazione</w:t>
            </w:r>
          </w:p>
          <w:p w14:paraId="15D9C6E5" w14:textId="77777777" w:rsidR="0043441E" w:rsidRPr="00AF17B2" w:rsidRDefault="0043441E" w:rsidP="00E961F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it-IT"/>
              </w:rPr>
            </w:pPr>
          </w:p>
          <w:p w14:paraId="14202EE0" w14:textId="26A9ADF2" w:rsidR="00AF17B2" w:rsidRPr="00AF17B2" w:rsidRDefault="00AF17B2" w:rsidP="00E961F1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>Q7. Si condivide l’orientamento dell’Autorità di introdurre un’integrazione nei bandi e nella documentazione di gara rispetto agli attuali CAM - adottati con decreto MITE (ora MASE) 23 giugno 2022 – affiancando ai sistemi già previsti di identificazione dell’utente conferitore, sistemi di misurazione/contabilizzazione puntuale del rifiuto urbano residuo secondo le modalità individuate dall’art. 6 del D.M. 20 aprile 2017, indipendentemente dal regime di tariffazione applicato? Motivare la risposta.</w:t>
            </w:r>
          </w:p>
          <w:p w14:paraId="20CB27B2" w14:textId="77777777" w:rsidR="00AF17B2" w:rsidRPr="00AF17B2" w:rsidRDefault="00AF17B2" w:rsidP="00E961F1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14:paraId="00573DD6" w14:textId="77777777" w:rsidR="00AF17B2" w:rsidRPr="00AF17B2" w:rsidRDefault="00AF17B2" w:rsidP="00AF17B2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 xml:space="preserve">Q8. Data la struttura </w:t>
            </w:r>
            <w:proofErr w:type="spellStart"/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>quadrinomia</w:t>
            </w:r>
            <w:proofErr w:type="spellEnd"/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 xml:space="preserve"> prospettata, si condividono i driver, in particolare quelli proposti in regime presuntivo per l’articolazione dei corrispettivi all’utenza di ciascuna componente? Motivare la risposta.</w:t>
            </w:r>
          </w:p>
          <w:p w14:paraId="730E7A53" w14:textId="77777777" w:rsidR="00AF17B2" w:rsidRPr="00AF17B2" w:rsidRDefault="00AF17B2" w:rsidP="00AF17B2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14:paraId="3F7908E2" w14:textId="129ED999" w:rsidR="00AF17B2" w:rsidRPr="00AF17B2" w:rsidRDefault="00AF17B2" w:rsidP="00AF17B2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>Q9. Si condivide l’orientamento di prevedere tariffe specifiche nel caso di peculiari utenze non domestiche la cui propensione alla produzione di rifiuti prescinde del tutto o in gran parte dal parametro rappresentato dalla superficie? Si suggeriscono parametri o approcci alternativi per commisurare la tariffa a tali utenze anche in regime presuntivo in assenza di misurazione puntuale dei rifiuti conferiti? Motivare la risposta.</w:t>
            </w:r>
          </w:p>
          <w:p w14:paraId="4736E57E" w14:textId="77777777" w:rsidR="00AF17B2" w:rsidRPr="00AF17B2" w:rsidRDefault="00AF17B2" w:rsidP="00AF17B2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14:paraId="47D5977E" w14:textId="21569BAC" w:rsidR="00AF17B2" w:rsidRDefault="00AF17B2" w:rsidP="00AF17B2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 xml:space="preserve">Q10. Si ritiene opportuno prevedere facoltà di deroga all’applicazione della struttura </w:t>
            </w:r>
            <w:proofErr w:type="spellStart"/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>quadrinomia</w:t>
            </w:r>
            <w:proofErr w:type="spellEnd"/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>, nelle quattro componenti delineate dall’Autorità, nel caso di applicazione di strutture polinomiali in regime di tariffa corrispettiva? Quali criteri potrebbero essere impiegati per individuare i presupposti funzionali al ricorso alla prospettata delega? Motivare la risposta.</w:t>
            </w:r>
          </w:p>
          <w:p w14:paraId="07A50368" w14:textId="77777777" w:rsidR="00AF17B2" w:rsidRDefault="00AF17B2" w:rsidP="00AF17B2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14:paraId="3897AE89" w14:textId="105049D9" w:rsidR="00AF17B2" w:rsidRDefault="00AF17B2" w:rsidP="00AF17B2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it-IT"/>
              </w:rPr>
            </w:pPr>
            <w:r w:rsidRPr="00AF17B2">
              <w:rPr>
                <w:rFonts w:ascii="Arial" w:hAnsi="Arial" w:cs="Arial"/>
                <w:b/>
                <w:bCs/>
                <w:sz w:val="28"/>
                <w:szCs w:val="28"/>
                <w:lang w:val="it-IT"/>
              </w:rPr>
              <w:t>Parametri per la commisurazione della tariffa alle utenze domestiche</w:t>
            </w:r>
          </w:p>
          <w:p w14:paraId="1855376A" w14:textId="77777777" w:rsidR="00AF17B2" w:rsidRPr="00AF17B2" w:rsidRDefault="00AF17B2" w:rsidP="00AF17B2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14:paraId="4338428F" w14:textId="5D45AE26" w:rsidR="00AF17B2" w:rsidRDefault="00AF17B2" w:rsidP="00AF17B2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>Q11. Si condivide l’orientamento di valorizzazione dei nuovi coefficienti Kb*(n) maggiormente aderente alle evidenze empiriche illustrate e più equilibrata per i nuclei famigliari più numerosi? Motivare la risposta</w:t>
            </w:r>
          </w:p>
          <w:p w14:paraId="2AFF874A" w14:textId="77777777" w:rsidR="00AF17B2" w:rsidRDefault="00AF17B2" w:rsidP="00AF17B2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14:paraId="22E098B8" w14:textId="6703F4C9" w:rsidR="00AF17B2" w:rsidRDefault="00AF17B2" w:rsidP="00AF17B2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it-IT"/>
              </w:rPr>
            </w:pPr>
            <w:r w:rsidRPr="00AF17B2">
              <w:rPr>
                <w:rFonts w:ascii="Arial" w:hAnsi="Arial" w:cs="Arial"/>
                <w:b/>
                <w:bCs/>
                <w:sz w:val="28"/>
                <w:szCs w:val="28"/>
                <w:lang w:val="it-IT"/>
              </w:rPr>
              <w:t>Parametri e categorie per la commisurazione della tariffa alle utenze non domestiche</w:t>
            </w:r>
          </w:p>
          <w:p w14:paraId="6A11E602" w14:textId="77777777" w:rsidR="00AF17B2" w:rsidRDefault="00AF17B2" w:rsidP="00AF17B2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it-IT"/>
              </w:rPr>
            </w:pPr>
          </w:p>
          <w:p w14:paraId="735272EA" w14:textId="77777777" w:rsidR="00AF17B2" w:rsidRDefault="00AF17B2" w:rsidP="00AF17B2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 xml:space="preserve">Q12. Si condivide l’orientamento di uniformare i coefficienti </w:t>
            </w:r>
            <w:proofErr w:type="spellStart"/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>Kd</w:t>
            </w:r>
            <w:proofErr w:type="spellEnd"/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 xml:space="preserve"> a livello nazionale, estendendo gli intervalli agli estremi consentiti dalla deroga di cui al comma 652, art. 1, della legge 147/13? Motivare la risposta.</w:t>
            </w:r>
          </w:p>
          <w:p w14:paraId="7CA88F99" w14:textId="77777777" w:rsidR="00E41F20" w:rsidRPr="00AF17B2" w:rsidRDefault="00E41F20" w:rsidP="00AF17B2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14:paraId="3D0F6CC0" w14:textId="77777777" w:rsidR="00AF17B2" w:rsidRPr="00AF17B2" w:rsidRDefault="00AF17B2" w:rsidP="00AF17B2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lastRenderedPageBreak/>
              <w:t xml:space="preserve">Q13. In merito alla valorizzazione puntuale del coefficiente </w:t>
            </w:r>
            <w:proofErr w:type="spellStart"/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>Kd</w:t>
            </w:r>
            <w:proofErr w:type="spellEnd"/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 xml:space="preserve">, con riferimento all’impostazione maggiormente conservativa prospettata, si condividono gli elementi di flessibilità proposti dall’Autorità nella determinazione dei valori </w:t>
            </w:r>
            <w:proofErr w:type="spellStart"/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>Kd</w:t>
            </w:r>
            <w:proofErr w:type="spellEnd"/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 xml:space="preserve"> da attribuire a specifiche tipologie di utenza non domestica e/o a singole utenze non domestiche? Si rinvengono elementi di criticità nell’approccio proposto? Motivare la risposta.</w:t>
            </w:r>
          </w:p>
          <w:p w14:paraId="13CBD167" w14:textId="063CEE28" w:rsidR="00AF17B2" w:rsidRPr="00AF17B2" w:rsidRDefault="00AF17B2" w:rsidP="00AF17B2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14:paraId="0D2D131E" w14:textId="77777777" w:rsidR="00AF17B2" w:rsidRDefault="00AF17B2" w:rsidP="00AF17B2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 xml:space="preserve">Q14. Si rinvengono potenziali elementi di criticità nell’impostazione a matrice più innovativa prospettata per la determinazione dei valori </w:t>
            </w:r>
            <w:proofErr w:type="spellStart"/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>Kd</w:t>
            </w:r>
            <w:proofErr w:type="spellEnd"/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>? Quali ulteriori criteri di valutazione dell’utenza non domestica si potrebbero introdurre al fine di ottenere un profilo complessivo più aderente all’effettiva attitudine di produzione dei rifiuti? Motivare la risposta.</w:t>
            </w:r>
          </w:p>
          <w:p w14:paraId="0729B9AB" w14:textId="77777777" w:rsidR="00E41F20" w:rsidRPr="00AF17B2" w:rsidRDefault="00E41F20" w:rsidP="00AF17B2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14:paraId="7FF23C19" w14:textId="1543304E" w:rsidR="00AF17B2" w:rsidRDefault="00AF17B2" w:rsidP="00AF17B2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>Q15. Quali e quante classi di superfici si potrebbero proporre nel caso si optasse per una commisurazione non più esattamente proporzionale ai m2 di superficie, ma a fasce caratterizzate da valori di produzione crescenti? Si ritiene opportuno prevedere classi di superficie diverse per categorie produttive differenti? Motivare la risposta.</w:t>
            </w:r>
          </w:p>
          <w:p w14:paraId="3DF2146D" w14:textId="77777777" w:rsidR="00AF17B2" w:rsidRDefault="00AF17B2" w:rsidP="00AF17B2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14:paraId="0EF23F1C" w14:textId="11394B28" w:rsidR="00AF17B2" w:rsidRDefault="00AF17B2" w:rsidP="00AF17B2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it-IT"/>
              </w:rPr>
            </w:pPr>
            <w:r w:rsidRPr="00AF17B2">
              <w:rPr>
                <w:rFonts w:ascii="Arial" w:hAnsi="Arial" w:cs="Arial"/>
                <w:b/>
                <w:bCs/>
                <w:sz w:val="28"/>
                <w:szCs w:val="28"/>
                <w:lang w:val="it-IT"/>
              </w:rPr>
              <w:t>Criterio di ripartizione delle entrate tariffarie tra le tipologie di utenza domestica e non domestica</w:t>
            </w:r>
          </w:p>
          <w:p w14:paraId="7D8D97AE" w14:textId="77777777" w:rsidR="00AF17B2" w:rsidRPr="00AF17B2" w:rsidRDefault="00AF17B2" w:rsidP="00AF17B2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14:paraId="256A6981" w14:textId="77777777" w:rsidR="00AF17B2" w:rsidRDefault="00AF17B2" w:rsidP="00AF17B2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 xml:space="preserve">Q16. Si condivide l’approccio proposto dall’Autorità di utilizzo di driver differenti per ciascuna delle componenti della struttura </w:t>
            </w:r>
            <w:proofErr w:type="spellStart"/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>quadrinomia</w:t>
            </w:r>
            <w:proofErr w:type="spellEnd"/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 xml:space="preserve"> prospettata? Quali driver, eventualmente di immediata disponibilità per gli operatori GTRU, potrebbero essere utilizzati? Argomentare la risposta.</w:t>
            </w:r>
          </w:p>
          <w:p w14:paraId="4F822E7E" w14:textId="77777777" w:rsidR="00E41F20" w:rsidRPr="00AF17B2" w:rsidRDefault="00E41F20" w:rsidP="00AF17B2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14:paraId="0BE3BD88" w14:textId="7E5E4217" w:rsidR="00AF17B2" w:rsidRDefault="00AF17B2" w:rsidP="00AF17B2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>Q17. In assenza di misurazioni puntuali, si condivide l’orientamento dell’Autorità di un metodo basato sulla stima della produzione complessiva di rifiuti urbani da parte delle utenze domestiche a partire da misurazioni a campione, al fine di calcolare la relativa incidenza funzionale a ripartire le entrate tariffarie tra le due macrocategorie di utenza? Segnalare indagini e studi eventualmente già disponibili.</w:t>
            </w:r>
          </w:p>
          <w:p w14:paraId="36205418" w14:textId="77777777" w:rsidR="00AF17B2" w:rsidRDefault="00AF17B2" w:rsidP="00AF17B2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14:paraId="682EB77C" w14:textId="7929A0B4" w:rsidR="00AF17B2" w:rsidRDefault="00AF17B2" w:rsidP="00AF17B2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it-IT"/>
              </w:rPr>
            </w:pPr>
            <w:r w:rsidRPr="00AF17B2">
              <w:rPr>
                <w:rFonts w:ascii="Arial" w:hAnsi="Arial" w:cs="Arial"/>
                <w:b/>
                <w:bCs/>
                <w:sz w:val="28"/>
                <w:szCs w:val="28"/>
                <w:lang w:val="it-IT"/>
              </w:rPr>
              <w:t>Opzioni regolatorie alternative e valutazioni preliminari</w:t>
            </w:r>
          </w:p>
          <w:p w14:paraId="1DAA1C9C" w14:textId="77777777" w:rsidR="00AF17B2" w:rsidRPr="00AF17B2" w:rsidRDefault="00AF17B2" w:rsidP="00AF17B2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it-IT"/>
              </w:rPr>
            </w:pPr>
          </w:p>
          <w:p w14:paraId="22184266" w14:textId="77777777" w:rsidR="00AF17B2" w:rsidRPr="00AF17B2" w:rsidRDefault="00AF17B2" w:rsidP="00AF17B2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AF17B2">
              <w:rPr>
                <w:rFonts w:ascii="Arial" w:hAnsi="Arial" w:cs="Arial"/>
                <w:sz w:val="24"/>
                <w:szCs w:val="24"/>
                <w:lang w:val="it-IT"/>
              </w:rPr>
              <w:t xml:space="preserve">A. Si condivide l’analisi comparativa delle diverse opzioni regolatorie effettuata rispetto ai quattro obiettivi specifici individuati dall’Autorità? Motivare la risposta. </w:t>
            </w:r>
          </w:p>
          <w:p w14:paraId="19EC52A4" w14:textId="1612D301" w:rsidR="00C62D94" w:rsidRPr="00AA016A" w:rsidRDefault="00C62D94" w:rsidP="00FD1ECB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</w:tbl>
    <w:p w14:paraId="39F6D22B" w14:textId="77777777" w:rsidR="00562B75" w:rsidRPr="00C62D94" w:rsidRDefault="00562B75" w:rsidP="00C62D94">
      <w:pPr>
        <w:rPr>
          <w:lang w:val="it-IT"/>
        </w:rPr>
      </w:pPr>
    </w:p>
    <w:sectPr w:rsidR="00562B75" w:rsidRPr="00C62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B731E" w14:textId="77777777" w:rsidR="008C56B4" w:rsidRDefault="008C56B4" w:rsidP="005C7167">
      <w:pPr>
        <w:spacing w:after="0" w:line="240" w:lineRule="auto"/>
      </w:pPr>
      <w:r>
        <w:separator/>
      </w:r>
    </w:p>
  </w:endnote>
  <w:endnote w:type="continuationSeparator" w:id="0">
    <w:p w14:paraId="45CC6366" w14:textId="77777777" w:rsidR="008C56B4" w:rsidRDefault="008C56B4" w:rsidP="005C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FD510" w14:textId="77777777" w:rsidR="008C56B4" w:rsidRDefault="008C56B4" w:rsidP="005C7167">
      <w:pPr>
        <w:spacing w:after="0" w:line="240" w:lineRule="auto"/>
      </w:pPr>
      <w:r>
        <w:separator/>
      </w:r>
    </w:p>
  </w:footnote>
  <w:footnote w:type="continuationSeparator" w:id="0">
    <w:p w14:paraId="2E85CDC1" w14:textId="77777777" w:rsidR="008C56B4" w:rsidRDefault="008C56B4" w:rsidP="005C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2D23A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CC84A48"/>
    <w:multiLevelType w:val="hybridMultilevel"/>
    <w:tmpl w:val="D5721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439DB"/>
    <w:multiLevelType w:val="hybridMultilevel"/>
    <w:tmpl w:val="B218BC48"/>
    <w:lvl w:ilvl="0" w:tplc="873CA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522E4"/>
    <w:multiLevelType w:val="hybridMultilevel"/>
    <w:tmpl w:val="0136BA4C"/>
    <w:lvl w:ilvl="0" w:tplc="04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5B125E32">
      <w:numFmt w:val="bullet"/>
      <w:lvlText w:val="-"/>
      <w:lvlJc w:val="left"/>
      <w:pPr>
        <w:ind w:left="114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4598088A"/>
    <w:multiLevelType w:val="hybridMultilevel"/>
    <w:tmpl w:val="AB46102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33E2EC2"/>
    <w:multiLevelType w:val="hybridMultilevel"/>
    <w:tmpl w:val="83DAB1C8"/>
    <w:lvl w:ilvl="0" w:tplc="7F30CF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C5808"/>
    <w:multiLevelType w:val="hybridMultilevel"/>
    <w:tmpl w:val="FB6CFC00"/>
    <w:lvl w:ilvl="0" w:tplc="5B125E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5943439">
    <w:abstractNumId w:val="6"/>
  </w:num>
  <w:num w:numId="2" w16cid:durableId="1702589861">
    <w:abstractNumId w:val="4"/>
  </w:num>
  <w:num w:numId="3" w16cid:durableId="1019893267">
    <w:abstractNumId w:val="3"/>
  </w:num>
  <w:num w:numId="4" w16cid:durableId="1024093853">
    <w:abstractNumId w:val="5"/>
  </w:num>
  <w:num w:numId="5" w16cid:durableId="83039337">
    <w:abstractNumId w:val="2"/>
  </w:num>
  <w:num w:numId="6" w16cid:durableId="550582876">
    <w:abstractNumId w:val="1"/>
  </w:num>
  <w:num w:numId="7" w16cid:durableId="2094232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B75"/>
    <w:rsid w:val="000039A8"/>
    <w:rsid w:val="00012EA3"/>
    <w:rsid w:val="00024E87"/>
    <w:rsid w:val="00054C4E"/>
    <w:rsid w:val="00055FE1"/>
    <w:rsid w:val="000902C1"/>
    <w:rsid w:val="0009454C"/>
    <w:rsid w:val="000965A0"/>
    <w:rsid w:val="000F4F8A"/>
    <w:rsid w:val="00146E21"/>
    <w:rsid w:val="00147F5F"/>
    <w:rsid w:val="001639BA"/>
    <w:rsid w:val="00181E98"/>
    <w:rsid w:val="001B6D9B"/>
    <w:rsid w:val="001C23AD"/>
    <w:rsid w:val="001F19C6"/>
    <w:rsid w:val="00200AAC"/>
    <w:rsid w:val="00223ABA"/>
    <w:rsid w:val="00223BEE"/>
    <w:rsid w:val="002333BD"/>
    <w:rsid w:val="00247CB2"/>
    <w:rsid w:val="00253CC5"/>
    <w:rsid w:val="00277B9D"/>
    <w:rsid w:val="00292E65"/>
    <w:rsid w:val="00293F06"/>
    <w:rsid w:val="002B1507"/>
    <w:rsid w:val="002C41DC"/>
    <w:rsid w:val="002E6EA1"/>
    <w:rsid w:val="002F0FFE"/>
    <w:rsid w:val="003069B3"/>
    <w:rsid w:val="00320732"/>
    <w:rsid w:val="00320770"/>
    <w:rsid w:val="00325E33"/>
    <w:rsid w:val="003559D1"/>
    <w:rsid w:val="003576BA"/>
    <w:rsid w:val="00370CE8"/>
    <w:rsid w:val="00390366"/>
    <w:rsid w:val="003C7953"/>
    <w:rsid w:val="003F30A3"/>
    <w:rsid w:val="00421622"/>
    <w:rsid w:val="00433551"/>
    <w:rsid w:val="0043441E"/>
    <w:rsid w:val="004530BC"/>
    <w:rsid w:val="004569E5"/>
    <w:rsid w:val="00477781"/>
    <w:rsid w:val="004804EE"/>
    <w:rsid w:val="004973E1"/>
    <w:rsid w:val="004E498E"/>
    <w:rsid w:val="004E5F3A"/>
    <w:rsid w:val="0051423A"/>
    <w:rsid w:val="0053743B"/>
    <w:rsid w:val="00545EA0"/>
    <w:rsid w:val="00562B75"/>
    <w:rsid w:val="00570F4B"/>
    <w:rsid w:val="00575CB3"/>
    <w:rsid w:val="00594940"/>
    <w:rsid w:val="005B52AB"/>
    <w:rsid w:val="005B64D6"/>
    <w:rsid w:val="005C7167"/>
    <w:rsid w:val="006156EB"/>
    <w:rsid w:val="006262C0"/>
    <w:rsid w:val="00665A83"/>
    <w:rsid w:val="006750E5"/>
    <w:rsid w:val="006A4401"/>
    <w:rsid w:val="006B2FDE"/>
    <w:rsid w:val="006B527B"/>
    <w:rsid w:val="006F5B07"/>
    <w:rsid w:val="0071334C"/>
    <w:rsid w:val="007153EE"/>
    <w:rsid w:val="00722BD7"/>
    <w:rsid w:val="007257C7"/>
    <w:rsid w:val="0073100B"/>
    <w:rsid w:val="00741394"/>
    <w:rsid w:val="00746288"/>
    <w:rsid w:val="007645F6"/>
    <w:rsid w:val="007A184F"/>
    <w:rsid w:val="007A5BBD"/>
    <w:rsid w:val="007B5814"/>
    <w:rsid w:val="007C304A"/>
    <w:rsid w:val="007E0DCD"/>
    <w:rsid w:val="008316D8"/>
    <w:rsid w:val="00834A1B"/>
    <w:rsid w:val="00863B03"/>
    <w:rsid w:val="008669FE"/>
    <w:rsid w:val="00872FC1"/>
    <w:rsid w:val="008761FA"/>
    <w:rsid w:val="00887AAC"/>
    <w:rsid w:val="00895CB8"/>
    <w:rsid w:val="008A5DDD"/>
    <w:rsid w:val="008C56B4"/>
    <w:rsid w:val="008F6F9E"/>
    <w:rsid w:val="008F7CF3"/>
    <w:rsid w:val="00912D78"/>
    <w:rsid w:val="0092690B"/>
    <w:rsid w:val="00935911"/>
    <w:rsid w:val="00961297"/>
    <w:rsid w:val="0096268D"/>
    <w:rsid w:val="009710EC"/>
    <w:rsid w:val="0099785C"/>
    <w:rsid w:val="009B5B2D"/>
    <w:rsid w:val="009C39A0"/>
    <w:rsid w:val="009D488D"/>
    <w:rsid w:val="009D51AC"/>
    <w:rsid w:val="009E56D5"/>
    <w:rsid w:val="009F4D29"/>
    <w:rsid w:val="00A107E5"/>
    <w:rsid w:val="00A578B8"/>
    <w:rsid w:val="00A610FC"/>
    <w:rsid w:val="00A61903"/>
    <w:rsid w:val="00A7148C"/>
    <w:rsid w:val="00A92E94"/>
    <w:rsid w:val="00AA016A"/>
    <w:rsid w:val="00AE45F1"/>
    <w:rsid w:val="00AF17B2"/>
    <w:rsid w:val="00B00D9B"/>
    <w:rsid w:val="00B01622"/>
    <w:rsid w:val="00B10C29"/>
    <w:rsid w:val="00B157A4"/>
    <w:rsid w:val="00B20C36"/>
    <w:rsid w:val="00B40D7D"/>
    <w:rsid w:val="00B42560"/>
    <w:rsid w:val="00B47600"/>
    <w:rsid w:val="00B55D33"/>
    <w:rsid w:val="00B651FE"/>
    <w:rsid w:val="00B7001F"/>
    <w:rsid w:val="00B7737A"/>
    <w:rsid w:val="00B92AEA"/>
    <w:rsid w:val="00BA0421"/>
    <w:rsid w:val="00BD5EB0"/>
    <w:rsid w:val="00C05C7E"/>
    <w:rsid w:val="00C224E7"/>
    <w:rsid w:val="00C24707"/>
    <w:rsid w:val="00C25585"/>
    <w:rsid w:val="00C42EED"/>
    <w:rsid w:val="00C46395"/>
    <w:rsid w:val="00C4795D"/>
    <w:rsid w:val="00C62D94"/>
    <w:rsid w:val="00CE34F2"/>
    <w:rsid w:val="00CF7D0B"/>
    <w:rsid w:val="00D1088F"/>
    <w:rsid w:val="00D16D02"/>
    <w:rsid w:val="00D37AF5"/>
    <w:rsid w:val="00D51245"/>
    <w:rsid w:val="00D515A6"/>
    <w:rsid w:val="00D53E9D"/>
    <w:rsid w:val="00D87402"/>
    <w:rsid w:val="00D92A1F"/>
    <w:rsid w:val="00DF514D"/>
    <w:rsid w:val="00E2196A"/>
    <w:rsid w:val="00E224BA"/>
    <w:rsid w:val="00E24F7E"/>
    <w:rsid w:val="00E41F20"/>
    <w:rsid w:val="00E46AB5"/>
    <w:rsid w:val="00E47EBA"/>
    <w:rsid w:val="00E961F1"/>
    <w:rsid w:val="00EE22D6"/>
    <w:rsid w:val="00EF3E47"/>
    <w:rsid w:val="00F207ED"/>
    <w:rsid w:val="00F253D3"/>
    <w:rsid w:val="00F33ECA"/>
    <w:rsid w:val="00F463DF"/>
    <w:rsid w:val="00F57CE3"/>
    <w:rsid w:val="00F62F31"/>
    <w:rsid w:val="00F937FC"/>
    <w:rsid w:val="00FB1BC7"/>
    <w:rsid w:val="00FD1ECB"/>
    <w:rsid w:val="00FE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6BCCB"/>
  <w15:docId w15:val="{1C435B41-B3EF-46CC-87FC-DCD7696F6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2D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62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333BD"/>
    <w:pPr>
      <w:ind w:left="720"/>
      <w:contextualSpacing/>
    </w:pPr>
    <w:rPr>
      <w:lang w:val="it-IT"/>
    </w:rPr>
  </w:style>
  <w:style w:type="paragraph" w:customStyle="1" w:styleId="Default">
    <w:name w:val="Default"/>
    <w:rsid w:val="009978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C7167"/>
    <w:pPr>
      <w:spacing w:after="0" w:line="240" w:lineRule="auto"/>
    </w:pPr>
    <w:rPr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C7167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C7167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C62D9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62D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.tosto@fis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Tosto</dc:creator>
  <cp:keywords/>
  <dc:description/>
  <cp:lastModifiedBy>Assoambiente</cp:lastModifiedBy>
  <cp:revision>2</cp:revision>
  <dcterms:created xsi:type="dcterms:W3CDTF">2025-04-21T07:09:00Z</dcterms:created>
  <dcterms:modified xsi:type="dcterms:W3CDTF">2025-04-21T07:09:00Z</dcterms:modified>
</cp:coreProperties>
</file>